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:rsidR="00EE5B81" w:rsidRPr="00EE5B81" w:rsidRDefault="00EE5B81" w:rsidP="008C2D90">
      <w:pPr>
        <w:tabs>
          <w:tab w:val="left" w:pos="6300"/>
        </w:tabs>
        <w:autoSpaceDE w:val="0"/>
        <w:autoSpaceDN w:val="0"/>
        <w:adjustRightInd w:val="0"/>
        <w:spacing w:before="240"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 от 16.04.2014 № 231, от 15.01.2015 № 3, от 02.04.2015 № 95, от 22.07.2015 № 175, от 18.04.2016 № 55, от 18.07.2016 № 118, </w:t>
      </w:r>
      <w:r w:rsidR="00C621C9">
        <w:rPr>
          <w:rFonts w:ascii="Times New Roman" w:eastAsia="Times New Roman" w:hAnsi="Times New Roman" w:cs="Times New Roman"/>
          <w:lang w:eastAsia="ru-RU"/>
        </w:rPr>
        <w:t xml:space="preserve">от 23.06.2017 № 236, от 23.11.2017 № 395 </w:t>
      </w:r>
      <w:r w:rsidR="008C2D90">
        <w:rPr>
          <w:rFonts w:ascii="Times New Roman" w:eastAsia="Times New Roman" w:hAnsi="Times New Roman" w:cs="Times New Roman"/>
          <w:lang w:eastAsia="ru-RU"/>
        </w:rPr>
        <w:t>от 01.02.2018 № 79,</w:t>
      </w:r>
      <w:r w:rsidR="005864C4">
        <w:rPr>
          <w:rFonts w:ascii="Times New Roman" w:eastAsia="Times New Roman" w:hAnsi="Times New Roman" w:cs="Times New Roman"/>
          <w:lang w:eastAsia="ru-RU"/>
        </w:rPr>
        <w:t xml:space="preserve"> от 07.03.2018</w:t>
      </w:r>
      <w:r w:rsidR="000C4E7D">
        <w:rPr>
          <w:rFonts w:ascii="Times New Roman" w:eastAsia="Times New Roman" w:hAnsi="Times New Roman" w:cs="Times New Roman"/>
          <w:lang w:eastAsia="ru-RU"/>
        </w:rPr>
        <w:t xml:space="preserve"> г. № 151</w:t>
      </w:r>
      <w:r w:rsidR="006B7233">
        <w:rPr>
          <w:rFonts w:ascii="Times New Roman" w:eastAsia="Times New Roman" w:hAnsi="Times New Roman" w:cs="Times New Roman"/>
          <w:lang w:eastAsia="ru-RU"/>
        </w:rPr>
        <w:t>, от 18.04.2018 № 257,</w:t>
      </w:r>
      <w:r w:rsidR="00984479">
        <w:rPr>
          <w:rFonts w:ascii="Times New Roman" w:eastAsia="Times New Roman" w:hAnsi="Times New Roman" w:cs="Times New Roman"/>
          <w:lang w:eastAsia="ru-RU"/>
        </w:rPr>
        <w:t xml:space="preserve"> от 22.06.2018 № 345</w:t>
      </w:r>
      <w:r w:rsidR="00E10CDB">
        <w:rPr>
          <w:rFonts w:ascii="Times New Roman" w:eastAsia="Times New Roman" w:hAnsi="Times New Roman" w:cs="Times New Roman"/>
          <w:lang w:eastAsia="ru-RU"/>
        </w:rPr>
        <w:t>, от 05.07.2018 № 370</w:t>
      </w:r>
      <w:r w:rsidRPr="00EE5B81">
        <w:rPr>
          <w:rFonts w:ascii="Times New Roman" w:eastAsia="Times New Roman" w:hAnsi="Times New Roman" w:cs="Times New Roman"/>
          <w:lang w:eastAsia="ru-RU"/>
        </w:rPr>
        <w:t>)</w:t>
      </w:r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110466" w:rsidRPr="002453C2" w:rsidTr="0098447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98447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98447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252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ейковского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несовершеннолетних граждан, иностранные граждане, лица без гражданства, в том числе беженцы, постоянно или преимущественно проживающие на территории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Приказ </w:t>
            </w:r>
            <w:proofErr w:type="spell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E7417" w:rsidRPr="00C95333" w:rsidRDefault="00CE7417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110466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Pr="00C95333" w:rsidRDefault="00E177DA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="00FF750A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110466" w:rsidRPr="00C95333" w:rsidRDefault="00FF750A" w:rsidP="00E177D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970E85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                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ные представители) обучающихся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 отказ в предоставлении услуги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№  2300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Тейковского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образовательным стандартом дошкольного образования;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она «Б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ольшеклочковская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общее образование 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 w:rsidR="00962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 w:rsidR="00B56A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 w:rsidR="00581F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муниципального района «Центр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 июля 1999 года № 178-ФЗ «О государственной социальной помощи»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Юридические лица - физкультурно-спортивные организации, в том числе физкультурно-спортивные общества, иные организации физкультурно-спортивной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направленности; учреждения, осуществляющие деятельность 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9623A6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 w:rsidR="002150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B031A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1A" w:rsidRPr="00EB031A" w:rsidRDefault="00377A58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B0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191BE0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0610BA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 июня 2012 г. N 634 "О видах электронной подписи, использование которых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допускается при обращении за получением государственных и муниципальных услуг";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A" w:rsidRPr="00E177DA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91BE0" w:rsidRPr="00D235B1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B16241"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D5E0A" w:rsidRPr="00D235B1" w:rsidRDefault="001D5E0A" w:rsidP="004474D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</w:t>
            </w:r>
            <w:r w:rsidR="00A027E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администрацией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1D5E0A" w:rsidRPr="00D235B1" w:rsidRDefault="001D5E0A" w:rsidP="004474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1D5E0A" w:rsidRPr="00D235B1" w:rsidRDefault="00F20925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5E0A" w:rsidRPr="00D235B1" w:rsidRDefault="00A027E8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="001D5E0A"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="001D5E0A"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индивидуальные предприниматели, заинтересованн</w:t>
            </w:r>
            <w:r w:rsidR="004474D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ые лица либо их уполномоченные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представители </w:t>
            </w:r>
          </w:p>
        </w:tc>
        <w:tc>
          <w:tcPr>
            <w:tcW w:w="4252" w:type="dxa"/>
          </w:tcPr>
          <w:p w:rsidR="001D5E0A" w:rsidRPr="00D235B1" w:rsidRDefault="001D5E0A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474D9" w:rsidRDefault="001D5E0A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:rsidR="004474D9" w:rsidRPr="00D235B1" w:rsidRDefault="004474D9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4474D9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5E0A" w:rsidRPr="00D235B1" w:rsidRDefault="004474D9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1D5E0A" w:rsidRPr="00D235B1" w:rsidRDefault="004474D9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мониторинговый отказ в предоставлении муниципальной услуги</w:t>
            </w:r>
          </w:p>
        </w:tc>
        <w:tc>
          <w:tcPr>
            <w:tcW w:w="1560" w:type="dxa"/>
          </w:tcPr>
          <w:p w:rsidR="001D5E0A" w:rsidRPr="00D235B1" w:rsidRDefault="004474D9" w:rsidP="00F2092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24.09.2018 г. №447 «О внесении изменений в постановление администрации Тейковского муниципального района от 10.04.2018г. №</w:t>
            </w:r>
            <w:r w:rsidR="00F20925">
              <w:rPr>
                <w:rFonts w:ascii="Times New Roman" w:hAnsi="Times New Roman" w:cs="Times New Roman"/>
                <w:sz w:val="18"/>
                <w:szCs w:val="18"/>
              </w:rPr>
              <w:t>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5F6FA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6FA1"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5F6FA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 пояснительную записку;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схему 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F6FA1" w:rsidRDefault="005F6FA1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</w:t>
            </w:r>
            <w:r w:rsidR="001D2D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д) сведения об инженерном оборудовании, сводный план сетей инженерно-технического обеспечения с обозначением мест подключения проектируемого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объекта капитального строительства к сетям инженерно-технического обеспечения;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1D2DE5" w:rsidRPr="005F6FA1" w:rsidRDefault="001D2DE5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D5E0A" w:rsidRPr="005F6FA1" w:rsidRDefault="001D5E0A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5E0A" w:rsidRPr="005F6FA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5F6FA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="001D5E0A"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1D2DE5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1D2DE5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Default="001D2DE5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 w:rsidR="00453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t>,если</w:t>
            </w:r>
            <w:proofErr w:type="gramEnd"/>
            <w:r w:rsidR="00292BE5"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Положительного заключения государственной экспертизы проектной документации, в случаях, предусмотренных частью3.4 статьи 49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292BE5" w:rsidRPr="00292BE5" w:rsidRDefault="00292BE5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1D5E0A" w:rsidRPr="001D2DE5" w:rsidRDefault="001D2DE5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="003032BF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1D2DE5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1514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1D5E0A" w:rsidRPr="003032BF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BEB" w:rsidRPr="002453C2" w:rsidTr="00984479">
        <w:trPr>
          <w:trHeight w:val="242"/>
        </w:trPr>
        <w:tc>
          <w:tcPr>
            <w:tcW w:w="596" w:type="dxa"/>
          </w:tcPr>
          <w:p w:rsidR="009C7BEB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9C7BEB" w:rsidRPr="00D235B1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9C7BEB" w:rsidRDefault="005728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:rsidR="005728BA" w:rsidRPr="005728BA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C7BEB" w:rsidRPr="00D235B1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9C7BEB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1D5E0A" w:rsidRPr="00D235B1" w:rsidRDefault="005624D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5E0A" w:rsidRPr="00D235B1" w:rsidRDefault="005624DB" w:rsidP="005624DB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="001D5E0A"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="001D5E0A"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индивидуальные предприниматели, заинтересованные лица либо их уполномоченные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представители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1D5E0A" w:rsidRPr="00D235B1" w:rsidRDefault="001D5E0A" w:rsidP="00E07D8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1D5E0A" w:rsidRPr="00D235B1" w:rsidRDefault="00E07D8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об отказе в выдаче разрешения 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ввод объекта в эксплуатацию с указанием причин такого отказа</w:t>
            </w:r>
          </w:p>
        </w:tc>
        <w:tc>
          <w:tcPr>
            <w:tcW w:w="1560" w:type="dxa"/>
          </w:tcPr>
          <w:p w:rsidR="001D5E0A" w:rsidRPr="00D235B1" w:rsidRDefault="00E07D8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24.09.2018г. №448 «О внесении изменений в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17.06.2016г.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Тейковского муниципального района</w:t>
            </w:r>
            <w:bookmarkStart w:id="0" w:name="_GoBack"/>
            <w:bookmarkEnd w:id="0"/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D235B1" w:rsidRDefault="009C7BE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построенного,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капитального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ления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984479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70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984479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:rsidR="004159EE" w:rsidRPr="00D235B1" w:rsidRDefault="00AE2747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дтверждение в письменной форме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огласия 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9F7B38" w:rsidRPr="00D235B1" w:rsidRDefault="009F7B38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159EE" w:rsidRPr="00D235B1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Собственник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или иной законный владелец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имущества, к которому крепится рекламная конструкция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4159EE" w:rsidRPr="00D235B1" w:rsidRDefault="004159EE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фотомонтажа рекламной конструкции с привязкой к рекламному месту, выполненного в цвете, обзорный в дневное время суток, вечернее</w:t>
            </w:r>
          </w:p>
        </w:tc>
        <w:tc>
          <w:tcPr>
            <w:tcW w:w="2693" w:type="dxa"/>
          </w:tcPr>
          <w:p w:rsidR="004159EE" w:rsidRPr="00D235B1" w:rsidRDefault="001551E9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1551E9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ордера на производство земляных работ» на территории 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муниципального района»;</w:t>
            </w:r>
          </w:p>
          <w:p w:rsidR="00984479" w:rsidRPr="004372C3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15.06.2018 г. № 324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муниципального района от 09.02.2017 № 30 «Об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административного регламента предоставления</w:t>
            </w:r>
          </w:p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:rsidR="00984479" w:rsidRDefault="00984479" w:rsidP="00984479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администрации Тейковского муниципального района от 15.06.2018 № 324).» 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984479" w:rsidRPr="00377A58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984479" w:rsidRPr="00377A58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Отдел градостроительства управления координации жилищно-коммунального, дорожного хозяйства и градостроительства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377A58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984479" w:rsidRPr="00377A58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</w:t>
            </w: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и, либо их уполномоченные представители</w:t>
            </w:r>
          </w:p>
        </w:tc>
        <w:tc>
          <w:tcPr>
            <w:tcW w:w="4252" w:type="dxa"/>
          </w:tcPr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Конституция Российской Федерации;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Земельный кодекс Российской Федерации от 25.10.2001 № 136-ФЗ;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издание постановления Администрации об изменении вида разрешенного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земельного участка и направление его Заявителю;</w:t>
            </w:r>
          </w:p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 отказ в предоставлении муниципальной 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984479" w:rsidRPr="00377A58" w:rsidRDefault="00984479" w:rsidP="0098447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984479" w:rsidRPr="000610BA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</w:tcPr>
          <w:p w:rsidR="00984479" w:rsidRPr="000610B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984479" w:rsidRPr="000610BA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№59-ФЗ «О порядке рассмотрения обращений граждан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984479" w:rsidRPr="000610BA" w:rsidRDefault="00984479" w:rsidP="00984479">
            <w:pPr>
              <w:pStyle w:val="a7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E921D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984479" w:rsidRPr="00E921DA" w:rsidRDefault="00984479" w:rsidP="0098447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Разрешения,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984479" w:rsidRPr="00E177D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Pr="000610B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 от 29.12.2004 № 190-ФЗ;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Приказ Минстроя России от 19.02.2015 №117/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984479" w:rsidRPr="00EE43D6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продление срока действия разрешения на строительство либо мотивированный отказ в продлении срока действия разрешения на строительство;</w:t>
            </w:r>
          </w:p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:rsidR="00984479" w:rsidRPr="00F4464D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84479" w:rsidRPr="00F4464D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236 от 10.04.2018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984479" w:rsidRPr="00EB031A" w:rsidRDefault="00984479" w:rsidP="009844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984479" w:rsidRPr="00FB0515" w:rsidRDefault="00984479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984479" w:rsidRPr="00EB031A" w:rsidRDefault="00984479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984479" w:rsidRPr="00EB031A" w:rsidRDefault="00984479" w:rsidP="00984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85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984479" w:rsidRPr="00F61F05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заявок субъектов малого и среднего предпринимательства об оказании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финансовой поддержки</w:t>
            </w:r>
          </w:p>
        </w:tc>
        <w:tc>
          <w:tcPr>
            <w:tcW w:w="2693" w:type="dxa"/>
          </w:tcPr>
          <w:p w:rsidR="00984479" w:rsidRPr="00F61F05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решение комиссии по вопросам развития малого и среднего предпринимательства в Тейковском муниципальном </w:t>
            </w:r>
            <w:r>
              <w:rPr>
                <w:b w:val="0"/>
                <w:sz w:val="18"/>
                <w:szCs w:val="18"/>
              </w:rPr>
              <w:lastRenderedPageBreak/>
              <w:t>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61F05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984479" w:rsidRPr="0048146B" w:rsidRDefault="00984479" w:rsidP="00984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61F05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Письменное разъяснение налогоплательщикам и налоговым агентам по вопросам применения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984479" w:rsidRPr="0047288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 предоставлении информации налогоплательщикам и налоговым агентам по вопросам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984479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некоторые акты Правительства Российской Федерации";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1C6A3E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1C6A3E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- выдача или направление Заявителю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Издание постановления администрации Тейковского муниципального района об утверждении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8E64A0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10.11.2017 № 395 «Об утверждении административного регламента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Решение об утверждении схемы расположения земельного участка на кадастровом плане территории;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B9392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B9392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984479" w:rsidRPr="002453C2" w:rsidTr="00836D13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B9392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E10CDB">
            <w:pPr>
              <w:spacing w:after="0"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Устав Тейковского муниципального района.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об отказе в принятии гражданина на учет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23.01.2018 г. № 15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Федеральный закон от 25.06.2002 №73-ФЗ «Об объектах культурного наследия (памятниках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истории и культуры) народов Российской Федерации;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21.02.2018 №127 «Об 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решения об отказе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21.02.2018 г. № 127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Физические и юридические лица (за исключением органов государственной власти),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воздушного пространства)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 Воздушный кодекс РФ от 19.03.1997 № 60-ФЗ (Собрание законодательства РФ, 24.03.1997, №12 статья 1383);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06.01.2003 № 131-ФЗ «Об общих принципах организации местного самоуправления в РФ» (Собрание законодательства РФ, 06.10.2003, № 40, статья 3822);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статья 4179);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11.03.2010 № 138 «Об утверждении Федеральных правил использования воздушного пространства РФ» (Собрание законодательства РФ 05.04.2010 № 14 статья 1649);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Приказ Министерства транспорта РФ от 16.01.2012 № 6 «Об утверждении Федеральных авиационных правил «Организация планирования и использования воздушного пространства РФ» («Российская газета» № 73 04.04.2012);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06.09.2011 № 237 «Об установлении запретных зон» (с изменениями и дополнениями от 13.01.2015) («Российская газета» № 219 30.09.2011);</w:t>
            </w:r>
          </w:p>
          <w:p w:rsidR="00E10CDB" w:rsidRPr="00F4464D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AC07B2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21.06.2018 № 343 «Об утверждении административного регламента предоставления муниципальной услуги по выдаче </w:t>
            </w:r>
            <w:r w:rsidRPr="00076B2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E10CDB" w:rsidRPr="00F4464D" w:rsidRDefault="00E10CDB" w:rsidP="00E10CD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Бесплатная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(выдача) разрешения на 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беспилотных летальных аппаратов, подъема привязанных аэростатов над территорией Тейковского муниципального района, посадку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E10CDB" w:rsidRPr="00F4464D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направление (выдача) уведомления об отказе в предоставлении разрешения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21.06.2018 № 343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Признание граждан малоимущими в целях принятия на учет в качестве нуждающихся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жилых помещениях, предоставляемых по договорам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правление координации жилищно-коммунального, дорожного хозяйства и градостроительства 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граждане Российской Федерации, сумма среднедушевого дохода и расчетная стоимость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имущества которых ниже величины порогового значения доходов и стоимости имущества, устанавливаемых решением Совета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 Конституция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 Федеральный закон от 06.04.2011 № 63-Ф «Об электронной подписи»;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27.07.2006 № 152-ФЗ «О персональных данных»;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8F0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352 «Об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Признание Заявителя и членов его семьи малоимущими либо мотивированный отказ в признании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Заявителя и его членов семьи малоимущими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района от 28.06.2018 № 352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Конституция Российской Федерации;</w:t>
            </w:r>
          </w:p>
          <w:p w:rsidR="00E10CDB" w:rsidRPr="00536A04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Постановление Госстроя Российской Федерации от 27.09.2003 № 170 «Об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утверждении Правил и норм технической эксплуатации жилищного фонда» (зарегистрировано в Минюсте Российской Федерации 15.10.2003 № 5176);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353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акта приемочной комиссии,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 завершение переустройства и (или) перепланировки жилого помещения;</w:t>
            </w:r>
          </w:p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мотивированный отказ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</w:t>
            </w:r>
          </w:p>
          <w:p w:rsidR="00E10CDB" w:rsidRDefault="00E10CDB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353</w:t>
            </w:r>
          </w:p>
        </w:tc>
      </w:tr>
    </w:tbl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C4E7D"/>
    <w:rsid w:val="000D461E"/>
    <w:rsid w:val="00110466"/>
    <w:rsid w:val="001551E9"/>
    <w:rsid w:val="0015604E"/>
    <w:rsid w:val="00191BE0"/>
    <w:rsid w:val="00191EC4"/>
    <w:rsid w:val="001A69ED"/>
    <w:rsid w:val="001C6A3E"/>
    <w:rsid w:val="001D2DE5"/>
    <w:rsid w:val="001D5E0A"/>
    <w:rsid w:val="001E7C4D"/>
    <w:rsid w:val="001F1514"/>
    <w:rsid w:val="0021504E"/>
    <w:rsid w:val="0021762A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5356F"/>
    <w:rsid w:val="00377A58"/>
    <w:rsid w:val="003A748D"/>
    <w:rsid w:val="004159EE"/>
    <w:rsid w:val="004474D9"/>
    <w:rsid w:val="004535B0"/>
    <w:rsid w:val="0047288D"/>
    <w:rsid w:val="00475DC8"/>
    <w:rsid w:val="0048146B"/>
    <w:rsid w:val="004A790F"/>
    <w:rsid w:val="005624DB"/>
    <w:rsid w:val="005728BA"/>
    <w:rsid w:val="00581FE9"/>
    <w:rsid w:val="005864C4"/>
    <w:rsid w:val="005927C3"/>
    <w:rsid w:val="00596BFA"/>
    <w:rsid w:val="005A5548"/>
    <w:rsid w:val="005B2BE0"/>
    <w:rsid w:val="005E3F1C"/>
    <w:rsid w:val="005F6FA1"/>
    <w:rsid w:val="00635899"/>
    <w:rsid w:val="00667682"/>
    <w:rsid w:val="0067555F"/>
    <w:rsid w:val="006855C1"/>
    <w:rsid w:val="006A5984"/>
    <w:rsid w:val="006B7233"/>
    <w:rsid w:val="006F3212"/>
    <w:rsid w:val="00712171"/>
    <w:rsid w:val="00753E3A"/>
    <w:rsid w:val="0076092C"/>
    <w:rsid w:val="00770B0E"/>
    <w:rsid w:val="007B5EED"/>
    <w:rsid w:val="007C6A4F"/>
    <w:rsid w:val="00836D13"/>
    <w:rsid w:val="00866BDF"/>
    <w:rsid w:val="00880FF2"/>
    <w:rsid w:val="00885784"/>
    <w:rsid w:val="00894E2B"/>
    <w:rsid w:val="008B467A"/>
    <w:rsid w:val="008C2D90"/>
    <w:rsid w:val="008E40CA"/>
    <w:rsid w:val="008E64A0"/>
    <w:rsid w:val="00926AC3"/>
    <w:rsid w:val="009623A6"/>
    <w:rsid w:val="00970E85"/>
    <w:rsid w:val="00984479"/>
    <w:rsid w:val="009B49AA"/>
    <w:rsid w:val="009C7BEB"/>
    <w:rsid w:val="009F7B38"/>
    <w:rsid w:val="00A027E8"/>
    <w:rsid w:val="00A207FA"/>
    <w:rsid w:val="00A743B3"/>
    <w:rsid w:val="00AA138F"/>
    <w:rsid w:val="00AE2302"/>
    <w:rsid w:val="00AE2747"/>
    <w:rsid w:val="00B16241"/>
    <w:rsid w:val="00B4071D"/>
    <w:rsid w:val="00B56A76"/>
    <w:rsid w:val="00B809F6"/>
    <w:rsid w:val="00B9392D"/>
    <w:rsid w:val="00BB5799"/>
    <w:rsid w:val="00BD01FF"/>
    <w:rsid w:val="00C06265"/>
    <w:rsid w:val="00C161E7"/>
    <w:rsid w:val="00C621C9"/>
    <w:rsid w:val="00C95333"/>
    <w:rsid w:val="00CE7417"/>
    <w:rsid w:val="00CF6E22"/>
    <w:rsid w:val="00D235B1"/>
    <w:rsid w:val="00D32589"/>
    <w:rsid w:val="00D429F4"/>
    <w:rsid w:val="00D4333B"/>
    <w:rsid w:val="00D544BF"/>
    <w:rsid w:val="00DC499B"/>
    <w:rsid w:val="00E07D8B"/>
    <w:rsid w:val="00E10CD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68C9"/>
    <w:rsid w:val="00EA51B3"/>
    <w:rsid w:val="00EB031A"/>
    <w:rsid w:val="00EB6429"/>
    <w:rsid w:val="00EE5B81"/>
    <w:rsid w:val="00F1320A"/>
    <w:rsid w:val="00F14382"/>
    <w:rsid w:val="00F20925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30FC-5A84-458B-851E-4E7F283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E6FBF99F58E20A1038305831C143AD391MFZBG" TargetMode="External"/><Relationship Id="rId13" Type="http://schemas.openxmlformats.org/officeDocument/2006/relationships/hyperlink" Target="consultantplus://offline/ref=733C2DEE436B952CA5DC3A8D55B1BFACE2F80AE06CB7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2F80AE16EBD99F58E20A1038305831C143AD392FC5E3BD1MAZ6G" TargetMode="External"/><Relationship Id="rId12" Type="http://schemas.openxmlformats.org/officeDocument/2006/relationships/hyperlink" Target="consultantplus://offline/ref=733C2DEE436B952CA5DC3A8D55B1BFACE2F80AE169B799F58E20A10383M0Z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2F80AE46BBA99F58E20A1038305831C143AD392FC5E34D5MAZ2G" TargetMode="External"/><Relationship Id="rId11" Type="http://schemas.openxmlformats.org/officeDocument/2006/relationships/hyperlink" Target="consultantplus://offline/ref=733C2DEE436B952CA5DC3A8D55B1BFACE2FA0BE76BBB99F58E20A10383M0Z5G" TargetMode="External"/><Relationship Id="rId5" Type="http://schemas.openxmlformats.org/officeDocument/2006/relationships/hyperlink" Target="consultantplus://offline/ref=733C2DEE436B952CA5DC3A8D55B1BFACE1F20FE365E8CEF7DF75AFM0Z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3C2DEE436B952CA5DC3A8D55B1BFACE2F80AEF68BF99F58E20A10383M0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F6ABB99F58E20A10383M0Z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3A28B-C5D9-4B8A-8ADC-A7B4ABCE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43</Pages>
  <Words>17531</Words>
  <Characters>99933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Администрация</cp:lastModifiedBy>
  <cp:revision>37</cp:revision>
  <cp:lastPrinted>2018-06-22T08:34:00Z</cp:lastPrinted>
  <dcterms:created xsi:type="dcterms:W3CDTF">2017-04-14T09:12:00Z</dcterms:created>
  <dcterms:modified xsi:type="dcterms:W3CDTF">2018-10-01T10:08:00Z</dcterms:modified>
</cp:coreProperties>
</file>