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35" w:rsidRPr="005E3905" w:rsidRDefault="00B33F35" w:rsidP="00B33F35">
      <w:pPr>
        <w:pStyle w:val="ConsNormal"/>
        <w:widowControl/>
        <w:ind w:firstLine="540"/>
        <w:jc w:val="right"/>
        <w:rPr>
          <w:rFonts w:ascii="Times New Roman" w:hAnsi="Times New Roman"/>
          <w:sz w:val="28"/>
          <w:szCs w:val="28"/>
        </w:rPr>
      </w:pPr>
      <w:bookmarkStart w:id="0" w:name="_GoBack"/>
      <w:bookmarkEnd w:id="0"/>
      <w:r w:rsidRPr="005E3905">
        <w:rPr>
          <w:rFonts w:ascii="Times New Roman" w:hAnsi="Times New Roman"/>
          <w:sz w:val="28"/>
          <w:szCs w:val="28"/>
        </w:rPr>
        <w:t>Приложение к постановлению</w:t>
      </w:r>
    </w:p>
    <w:p w:rsidR="00B33F35" w:rsidRPr="005E3905" w:rsidRDefault="00B33F35" w:rsidP="00B33F35">
      <w:pPr>
        <w:pStyle w:val="ConsNormal"/>
        <w:widowControl/>
        <w:ind w:firstLine="540"/>
        <w:jc w:val="right"/>
        <w:rPr>
          <w:rFonts w:ascii="Times New Roman" w:hAnsi="Times New Roman"/>
          <w:sz w:val="28"/>
          <w:szCs w:val="28"/>
        </w:rPr>
      </w:pPr>
      <w:r w:rsidRPr="005E3905">
        <w:rPr>
          <w:rFonts w:ascii="Times New Roman" w:hAnsi="Times New Roman"/>
          <w:sz w:val="28"/>
          <w:szCs w:val="28"/>
        </w:rPr>
        <w:t>администрации Тейковского</w:t>
      </w:r>
    </w:p>
    <w:p w:rsidR="00B33F35" w:rsidRPr="005E3905" w:rsidRDefault="00B33F35" w:rsidP="00B33F35">
      <w:pPr>
        <w:pStyle w:val="ConsNormal"/>
        <w:widowControl/>
        <w:ind w:firstLine="540"/>
        <w:jc w:val="right"/>
        <w:rPr>
          <w:rFonts w:ascii="Times New Roman" w:hAnsi="Times New Roman"/>
          <w:sz w:val="28"/>
          <w:szCs w:val="28"/>
        </w:rPr>
      </w:pPr>
      <w:r w:rsidRPr="005E3905">
        <w:rPr>
          <w:rFonts w:ascii="Times New Roman" w:hAnsi="Times New Roman"/>
          <w:sz w:val="28"/>
          <w:szCs w:val="28"/>
        </w:rPr>
        <w:t>муниципального района</w:t>
      </w:r>
    </w:p>
    <w:p w:rsidR="00B33F35" w:rsidRPr="005E3905" w:rsidRDefault="00B33F35" w:rsidP="00B33F35">
      <w:pPr>
        <w:pStyle w:val="ConsNormal"/>
        <w:widowControl/>
        <w:ind w:firstLine="540"/>
        <w:jc w:val="right"/>
        <w:rPr>
          <w:rFonts w:ascii="Times New Roman" w:hAnsi="Times New Roman"/>
          <w:sz w:val="28"/>
          <w:szCs w:val="28"/>
        </w:rPr>
      </w:pPr>
      <w:r w:rsidRPr="005E3905">
        <w:rPr>
          <w:rFonts w:ascii="Times New Roman" w:hAnsi="Times New Roman"/>
          <w:sz w:val="28"/>
          <w:szCs w:val="28"/>
        </w:rPr>
        <w:t xml:space="preserve">от </w:t>
      </w:r>
      <w:r>
        <w:rPr>
          <w:rFonts w:ascii="Times New Roman" w:hAnsi="Times New Roman"/>
          <w:sz w:val="28"/>
          <w:szCs w:val="28"/>
        </w:rPr>
        <w:t>13.02.2017 г.</w:t>
      </w:r>
      <w:r w:rsidRPr="005E3905">
        <w:rPr>
          <w:rFonts w:ascii="Times New Roman" w:hAnsi="Times New Roman"/>
          <w:sz w:val="28"/>
          <w:szCs w:val="28"/>
        </w:rPr>
        <w:t xml:space="preserve"> №</w:t>
      </w:r>
      <w:r>
        <w:rPr>
          <w:rFonts w:ascii="Times New Roman" w:hAnsi="Times New Roman"/>
          <w:sz w:val="28"/>
          <w:szCs w:val="28"/>
        </w:rPr>
        <w:t xml:space="preserve"> 33</w:t>
      </w:r>
    </w:p>
    <w:p w:rsidR="00B33F35" w:rsidRPr="005E3905" w:rsidRDefault="00B33F35" w:rsidP="00B33F35">
      <w:pPr>
        <w:pStyle w:val="ConsNormal"/>
        <w:widowControl/>
        <w:ind w:firstLine="540"/>
        <w:jc w:val="both"/>
        <w:rPr>
          <w:rFonts w:ascii="Times New Roman" w:hAnsi="Times New Roman"/>
          <w:b/>
          <w:sz w:val="28"/>
          <w:szCs w:val="28"/>
        </w:rPr>
      </w:pPr>
    </w:p>
    <w:p w:rsidR="00B33F35" w:rsidRPr="005E3905" w:rsidRDefault="00B33F35" w:rsidP="00B33F35">
      <w:pPr>
        <w:pStyle w:val="ConsNormal"/>
        <w:widowControl/>
        <w:ind w:firstLine="540"/>
        <w:jc w:val="both"/>
        <w:rPr>
          <w:rFonts w:ascii="Times New Roman" w:hAnsi="Times New Roman"/>
          <w:b/>
          <w:sz w:val="28"/>
          <w:szCs w:val="28"/>
        </w:rPr>
      </w:pPr>
    </w:p>
    <w:p w:rsidR="00B33F35" w:rsidRDefault="00B33F35" w:rsidP="00B33F35">
      <w:pPr>
        <w:autoSpaceDE w:val="0"/>
        <w:autoSpaceDN w:val="0"/>
        <w:adjustRightInd w:val="0"/>
        <w:spacing w:after="0" w:line="240" w:lineRule="auto"/>
        <w:jc w:val="center"/>
        <w:rPr>
          <w:rFonts w:ascii="Times New Roman" w:hAnsi="Times New Roman" w:cs="Times New Roman"/>
          <w:b/>
          <w:bCs/>
          <w:sz w:val="28"/>
          <w:szCs w:val="28"/>
        </w:rPr>
      </w:pPr>
      <w:r w:rsidRPr="005E3905">
        <w:rPr>
          <w:rFonts w:ascii="Times New Roman" w:hAnsi="Times New Roman" w:cs="Times New Roman"/>
          <w:b/>
          <w:sz w:val="28"/>
          <w:szCs w:val="28"/>
        </w:rPr>
        <w:t xml:space="preserve">Бюджетный прогноз </w:t>
      </w:r>
      <w:r>
        <w:rPr>
          <w:rFonts w:ascii="Times New Roman" w:hAnsi="Times New Roman" w:cs="Times New Roman"/>
          <w:b/>
          <w:bCs/>
          <w:sz w:val="28"/>
          <w:szCs w:val="28"/>
        </w:rPr>
        <w:t>Тейковского</w:t>
      </w:r>
    </w:p>
    <w:p w:rsidR="00B33F35" w:rsidRDefault="00B33F35" w:rsidP="00B33F35">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 муниципального района на долгосрочный период до 2022 года</w:t>
      </w:r>
    </w:p>
    <w:p w:rsidR="00B33F35" w:rsidRDefault="00B33F35" w:rsidP="00B33F35">
      <w:pPr>
        <w:pStyle w:val="ConsNormal"/>
        <w:widowControl/>
        <w:ind w:firstLine="0"/>
        <w:jc w:val="both"/>
        <w:rPr>
          <w:rFonts w:ascii="Times New Roman" w:hAnsi="Times New Roman"/>
          <w:b/>
          <w:sz w:val="28"/>
          <w:szCs w:val="28"/>
        </w:rPr>
      </w:pPr>
    </w:p>
    <w:p w:rsidR="00B33F35" w:rsidRPr="005D6279" w:rsidRDefault="00B33F35" w:rsidP="00B33F35">
      <w:pPr>
        <w:spacing w:line="312" w:lineRule="auto"/>
        <w:jc w:val="center"/>
        <w:rPr>
          <w:sz w:val="28"/>
          <w:szCs w:val="28"/>
        </w:rPr>
      </w:pPr>
      <w:r w:rsidRPr="005D6279">
        <w:rPr>
          <w:rFonts w:ascii="Times New Roman" w:hAnsi="Times New Roman" w:cs="Times New Roman"/>
          <w:b/>
          <w:sz w:val="28"/>
          <w:szCs w:val="28"/>
        </w:rPr>
        <w:t>Введение</w:t>
      </w:r>
    </w:p>
    <w:p w:rsidR="00B33F35" w:rsidRPr="00970808" w:rsidRDefault="00B33F35" w:rsidP="00B33F35">
      <w:pPr>
        <w:pStyle w:val="4"/>
        <w:shd w:val="clear" w:color="auto" w:fill="auto"/>
        <w:tabs>
          <w:tab w:val="left" w:pos="3317"/>
        </w:tabs>
        <w:spacing w:after="0" w:line="240" w:lineRule="auto"/>
        <w:ind w:firstLine="709"/>
        <w:jc w:val="both"/>
        <w:rPr>
          <w:sz w:val="28"/>
          <w:szCs w:val="28"/>
        </w:rPr>
      </w:pPr>
      <w:r w:rsidRPr="00970808">
        <w:rPr>
          <w:sz w:val="28"/>
          <w:szCs w:val="28"/>
        </w:rPr>
        <w:t>В результате своевременной реализации антикризисных мер в 201</w:t>
      </w:r>
      <w:r>
        <w:rPr>
          <w:sz w:val="28"/>
          <w:szCs w:val="28"/>
        </w:rPr>
        <w:t>6</w:t>
      </w:r>
      <w:r w:rsidRPr="00970808">
        <w:rPr>
          <w:sz w:val="28"/>
          <w:szCs w:val="28"/>
        </w:rPr>
        <w:t xml:space="preserve"> году в целом удалось стабилизировать доходы бюджета </w:t>
      </w:r>
      <w:r>
        <w:rPr>
          <w:sz w:val="28"/>
          <w:szCs w:val="28"/>
        </w:rPr>
        <w:t>Тейковского муниципального района</w:t>
      </w:r>
      <w:r w:rsidRPr="00970808">
        <w:rPr>
          <w:sz w:val="28"/>
          <w:szCs w:val="28"/>
        </w:rPr>
        <w:t xml:space="preserve"> и обеспечить исполнение принятых расходных обязательств.</w:t>
      </w:r>
    </w:p>
    <w:p w:rsidR="00B33F35" w:rsidRPr="00970808" w:rsidRDefault="00B33F35" w:rsidP="00B33F35">
      <w:pPr>
        <w:pStyle w:val="4"/>
        <w:shd w:val="clear" w:color="auto" w:fill="auto"/>
        <w:tabs>
          <w:tab w:val="left" w:pos="3317"/>
        </w:tabs>
        <w:spacing w:after="0" w:line="240" w:lineRule="auto"/>
        <w:ind w:firstLine="709"/>
        <w:jc w:val="both"/>
        <w:rPr>
          <w:sz w:val="28"/>
          <w:szCs w:val="28"/>
        </w:rPr>
      </w:pPr>
      <w:r w:rsidRPr="00970808">
        <w:rPr>
          <w:sz w:val="28"/>
          <w:szCs w:val="28"/>
        </w:rPr>
        <w:t xml:space="preserve">По мере завершения болезненного адаптационного периода, главной задачей экономической политики </w:t>
      </w:r>
      <w:r>
        <w:rPr>
          <w:sz w:val="28"/>
          <w:szCs w:val="28"/>
        </w:rPr>
        <w:t>Тейковского муниципального района</w:t>
      </w:r>
      <w:r w:rsidRPr="00970808">
        <w:rPr>
          <w:sz w:val="28"/>
          <w:szCs w:val="28"/>
        </w:rPr>
        <w:t xml:space="preserve"> остается обеспечение устойчивого экономического развития </w:t>
      </w:r>
      <w:r>
        <w:rPr>
          <w:sz w:val="28"/>
          <w:szCs w:val="28"/>
        </w:rPr>
        <w:t>район</w:t>
      </w:r>
      <w:r w:rsidRPr="00970808">
        <w:rPr>
          <w:sz w:val="28"/>
          <w:szCs w:val="28"/>
        </w:rPr>
        <w:t xml:space="preserve">а. В то же время сохраняющаяся повышенная неопределенность внешнеполитической и экономической конъюнктуры предопределила временную приостановку среднесрочного бюджетного планирования и переход в 2016 году на однолетний бюджет. В таких условиях актуальность долгосрочных ориентиров бюджетной политики, включая вариативность ее проведения в зависимости от реализации тех или иных сценариев развития, разработка бюджетного прогноза </w:t>
      </w:r>
      <w:r>
        <w:rPr>
          <w:sz w:val="28"/>
          <w:szCs w:val="28"/>
        </w:rPr>
        <w:t>Тейковского муниципального района</w:t>
      </w:r>
      <w:r w:rsidRPr="00970808">
        <w:rPr>
          <w:sz w:val="28"/>
          <w:szCs w:val="28"/>
        </w:rPr>
        <w:t xml:space="preserve"> на долгосрочный период приобретают особое значение, помогая сформировать средние и долгосрочные стратегии поведения.</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 xml:space="preserve">Долгосрочные оценки основных параметров бюджета в </w:t>
      </w:r>
      <w:r>
        <w:rPr>
          <w:sz w:val="28"/>
          <w:szCs w:val="28"/>
        </w:rPr>
        <w:t>Тейковском муниципальном районе</w:t>
      </w:r>
      <w:r w:rsidRPr="00970808">
        <w:rPr>
          <w:sz w:val="28"/>
          <w:szCs w:val="28"/>
        </w:rPr>
        <w:t>, и, что более важно, основные подходы, методы и принципы реализации долгосрочной политики в налоговой, бюджетной и долговой сферах необходимы</w:t>
      </w:r>
      <w:r>
        <w:rPr>
          <w:sz w:val="28"/>
          <w:szCs w:val="28"/>
        </w:rPr>
        <w:t xml:space="preserve"> </w:t>
      </w:r>
      <w:r w:rsidRPr="00970808">
        <w:rPr>
          <w:sz w:val="28"/>
          <w:szCs w:val="28"/>
        </w:rPr>
        <w:t>для разработки и реализации всей совокупности документов стратегического планирования. Повышение степени предсказуемости реализуемой бюджетной политики способствует росту привлекательности экономики для потенциальных инвесторов и повышает эффективность действий органов управления в целом.</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 xml:space="preserve">Долгосрочное бюджетное прогнозирование является естественным продолжением работы по повышению качества управления в </w:t>
      </w:r>
      <w:r>
        <w:rPr>
          <w:sz w:val="28"/>
          <w:szCs w:val="28"/>
        </w:rPr>
        <w:t>Тейковском муниципальном районе</w:t>
      </w:r>
      <w:r w:rsidRPr="00970808">
        <w:rPr>
          <w:sz w:val="28"/>
          <w:szCs w:val="28"/>
        </w:rPr>
        <w:t xml:space="preserve"> и внедрению программно-целевого метода управления общественными финансами в частности. Реализованный в предшествующие годы переход на формирование бюджета </w:t>
      </w:r>
      <w:r>
        <w:rPr>
          <w:sz w:val="28"/>
          <w:szCs w:val="28"/>
        </w:rPr>
        <w:t>Тейковского муниципального района</w:t>
      </w:r>
      <w:r w:rsidRPr="00970808">
        <w:rPr>
          <w:sz w:val="28"/>
          <w:szCs w:val="28"/>
        </w:rPr>
        <w:t xml:space="preserve"> на трехлетний период, разработка системы муниципальных программ </w:t>
      </w:r>
      <w:r>
        <w:rPr>
          <w:sz w:val="28"/>
          <w:szCs w:val="28"/>
        </w:rPr>
        <w:t>Тейковского муниципального района</w:t>
      </w:r>
      <w:r w:rsidRPr="00970808">
        <w:rPr>
          <w:sz w:val="28"/>
          <w:szCs w:val="28"/>
        </w:rPr>
        <w:t xml:space="preserve"> предполагали дальнейшее расширение горизонтов планирования. Тем самым выстраивается взаимоувязанная система документов бюджетного планирования, обеспечивающая сбалансированность мер, реализуемых в текущем, среднесрочном и долгосрочном периодах.</w:t>
      </w:r>
    </w:p>
    <w:p w:rsidR="00B33F35" w:rsidRPr="005E3905" w:rsidRDefault="00B33F35" w:rsidP="00B33F35">
      <w:pPr>
        <w:pStyle w:val="ConsNormal"/>
        <w:widowControl/>
        <w:ind w:firstLine="0"/>
        <w:jc w:val="both"/>
        <w:rPr>
          <w:rFonts w:ascii="Times New Roman" w:hAnsi="Times New Roman"/>
          <w:b/>
          <w:sz w:val="28"/>
          <w:szCs w:val="28"/>
        </w:rPr>
      </w:pPr>
    </w:p>
    <w:p w:rsidR="00B33F35" w:rsidRPr="005E3905" w:rsidRDefault="00B33F35" w:rsidP="00B33F35">
      <w:pPr>
        <w:spacing w:after="0" w:line="240" w:lineRule="auto"/>
        <w:ind w:firstLine="720"/>
        <w:jc w:val="both"/>
        <w:rPr>
          <w:rFonts w:ascii="Times New Roman" w:hAnsi="Times New Roman" w:cs="Times New Roman"/>
          <w:sz w:val="28"/>
          <w:szCs w:val="28"/>
        </w:rPr>
      </w:pPr>
      <w:r w:rsidRPr="005E3905">
        <w:rPr>
          <w:rFonts w:ascii="Times New Roman" w:hAnsi="Times New Roman" w:cs="Times New Roman"/>
          <w:sz w:val="28"/>
          <w:szCs w:val="28"/>
        </w:rPr>
        <w:lastRenderedPageBreak/>
        <w:t>Бюджетный прогноз Тейковского муниципального района на 2017 – 2022 годы (далее прогноз) подготовлен в соответствии с требованиями Бюджетного Кодекса Российской Федерации (далее – Бюджетный Кодекс), Федеральным законом от 06.10.2003 г. № 131-ФЗ «Об общих принципах организации местного самоуправления в Российской Федерации, Уставом Тейковского муниципального района.</w:t>
      </w:r>
    </w:p>
    <w:p w:rsidR="00B33F35" w:rsidRPr="005E3905" w:rsidRDefault="00B33F35" w:rsidP="00B33F35">
      <w:pPr>
        <w:pStyle w:val="ConsPlusNormal0"/>
        <w:ind w:firstLine="540"/>
        <w:jc w:val="both"/>
        <w:rPr>
          <w:rFonts w:ascii="Times New Roman" w:hAnsi="Times New Roman" w:cs="Times New Roman"/>
          <w:sz w:val="28"/>
          <w:szCs w:val="28"/>
        </w:rPr>
      </w:pPr>
    </w:p>
    <w:p w:rsidR="00B33F35" w:rsidRPr="005E3905" w:rsidRDefault="00B33F35" w:rsidP="00B33F35">
      <w:pPr>
        <w:pStyle w:val="ConsPlusNormal0"/>
        <w:ind w:firstLine="540"/>
        <w:jc w:val="center"/>
        <w:rPr>
          <w:rFonts w:ascii="Times New Roman" w:hAnsi="Times New Roman" w:cs="Times New Roman"/>
          <w:b/>
          <w:sz w:val="28"/>
          <w:szCs w:val="28"/>
        </w:rPr>
      </w:pPr>
      <w:r w:rsidRPr="005E3905">
        <w:rPr>
          <w:rFonts w:ascii="Times New Roman" w:hAnsi="Times New Roman" w:cs="Times New Roman"/>
          <w:b/>
          <w:sz w:val="28"/>
          <w:szCs w:val="28"/>
        </w:rPr>
        <w:t>1.  Цели и задачи бюджетного прогноза</w:t>
      </w:r>
    </w:p>
    <w:p w:rsidR="00B33F35" w:rsidRPr="005E3905" w:rsidRDefault="00B33F35" w:rsidP="00B33F35">
      <w:pPr>
        <w:pStyle w:val="ConsPlusNormal0"/>
        <w:ind w:firstLine="540"/>
        <w:jc w:val="both"/>
        <w:rPr>
          <w:rFonts w:ascii="Times New Roman" w:hAnsi="Times New Roman" w:cs="Times New Roman"/>
          <w:sz w:val="28"/>
          <w:szCs w:val="28"/>
        </w:rPr>
      </w:pP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Ключевой целью разработки бюджетного прогноза Тейковского муниципального района на долгосрочный период является оценка основных тенденций развития бюджета Тейковского муниципального района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бюджета Тейковского муниципального района и достижение стратегических целей социально-экономического развития Тейковского муниципального района.</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К задачам бюджетного прогноза, способствующим достижению указанной цели, относятся:</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осуществление бюджетного прогнозирования на период, позволяющий оценить основные изменения, тенденции и последствия социально-экономических и иных явлений, оказывающих наибольшее воздействие на состояние бюджета Тейковского муниципального района;</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разработка достоверных прогнозов основных характеристик бюджета Тейковского муниципального района и иных показателей, характеризующих состояние, основные риски и угрозы сбалансированности бюджета Тейковского муниципального района;</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выработка решений по принятию дополнительных мер совершенствования налоговой, бюджетной, долговой политики, включая повышение эффективности бюджетных расходов, способствующих достижению сбалансированности бюджета Тейковского муниципального района и решению ключевых задач социально-экономического развития Тейковского муниципального района   в долгосрочном периоде;</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обеспечение прозрачности и предсказуемости параметров бюджета Тейковского муниципального района, макроэкономических и иных показателей, в том числе базовых принципов и условий реализации налоговой, бюджетной и долговой политики;</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профилактика бюджетных рисков для бюджета Тейковского муниципального района, обеспечиваемая в том числе заблаговременным обнаружением и принятием мер по минимизации негативных последствий реализации соответствующих рисков;</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определение объемов долгосрочных финансовых обязательств, включая показатели финансового обеспечения муниципальных  программ Тейковского муниципального района, на период их действия.</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Решение указанных задач обеспечивается в рамках комплексного подхода, включающего в себя:</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lastRenderedPageBreak/>
        <w:t>обеспечение взаимного соответствия и координации бюджетного прогноза с другими документами муниципального стратегического планирования, в первую очередь прогнозом социально-экономического развития Тейковского муниципального района на долгосрочный период и муниципальными программами Тейковского муниципального района;</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систематизацию и регулярный учет основных бюджетных и макроэкономических рисков;</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использование в целях долгосрочного бюджетного прогнозирования и планирования инициативных мер и решений, позволяющих достичь требуемых результатов и уровня сбалансированности бюджета Тейковского муниципального района;</w:t>
      </w:r>
    </w:p>
    <w:p w:rsidR="00B33F35" w:rsidRPr="005E3905" w:rsidRDefault="00B33F35" w:rsidP="00B33F35">
      <w:pPr>
        <w:pStyle w:val="ConsPlusNormal0"/>
        <w:ind w:firstLine="540"/>
        <w:jc w:val="both"/>
        <w:rPr>
          <w:rFonts w:ascii="Times New Roman" w:hAnsi="Times New Roman" w:cs="Times New Roman"/>
          <w:sz w:val="28"/>
          <w:szCs w:val="28"/>
        </w:rPr>
      </w:pPr>
      <w:r w:rsidRPr="005E3905">
        <w:rPr>
          <w:rFonts w:ascii="Times New Roman" w:hAnsi="Times New Roman" w:cs="Times New Roman"/>
          <w:sz w:val="28"/>
          <w:szCs w:val="28"/>
        </w:rPr>
        <w:t>полноценное включение разработки и обеспечение учета бюджетного прогноза в рамках бюджетного процесса.</w:t>
      </w:r>
    </w:p>
    <w:p w:rsidR="00B33F35" w:rsidRPr="005E3905" w:rsidRDefault="00B33F35" w:rsidP="00B33F35">
      <w:pPr>
        <w:pStyle w:val="ConsPlusNormal0"/>
        <w:jc w:val="both"/>
        <w:rPr>
          <w:rFonts w:ascii="Times New Roman" w:hAnsi="Times New Roman" w:cs="Times New Roman"/>
          <w:b/>
          <w:sz w:val="28"/>
          <w:szCs w:val="28"/>
        </w:rPr>
      </w:pPr>
    </w:p>
    <w:p w:rsidR="00B33F35" w:rsidRPr="005E3905" w:rsidRDefault="00B33F35" w:rsidP="00B33F35">
      <w:pPr>
        <w:pStyle w:val="ConsPlusNormal0"/>
        <w:jc w:val="center"/>
        <w:rPr>
          <w:rFonts w:ascii="Times New Roman" w:hAnsi="Times New Roman" w:cs="Times New Roman"/>
          <w:b/>
          <w:sz w:val="28"/>
          <w:szCs w:val="28"/>
        </w:rPr>
      </w:pPr>
      <w:r w:rsidRPr="005E3905">
        <w:rPr>
          <w:rFonts w:ascii="Times New Roman" w:hAnsi="Times New Roman" w:cs="Times New Roman"/>
          <w:b/>
          <w:sz w:val="28"/>
          <w:szCs w:val="28"/>
        </w:rPr>
        <w:t>2. Основные направления налоговой, бюджетной и долговой политики</w:t>
      </w:r>
    </w:p>
    <w:p w:rsidR="00B33F35" w:rsidRPr="005E3905" w:rsidRDefault="00B33F35" w:rsidP="00B33F35">
      <w:pPr>
        <w:pStyle w:val="ConsPlusNormal0"/>
        <w:jc w:val="center"/>
        <w:rPr>
          <w:rFonts w:ascii="Times New Roman" w:hAnsi="Times New Roman" w:cs="Times New Roman"/>
          <w:b/>
          <w:sz w:val="28"/>
          <w:szCs w:val="28"/>
        </w:rPr>
      </w:pPr>
      <w:r w:rsidRPr="005E3905">
        <w:rPr>
          <w:rFonts w:ascii="Times New Roman" w:hAnsi="Times New Roman" w:cs="Times New Roman"/>
          <w:b/>
          <w:sz w:val="28"/>
          <w:szCs w:val="28"/>
        </w:rPr>
        <w:t>Тейковского муниципального района на 2017 – 2022 годы</w:t>
      </w:r>
    </w:p>
    <w:p w:rsidR="00B33F35" w:rsidRPr="005E3905" w:rsidRDefault="00B33F35" w:rsidP="00B33F35">
      <w:pPr>
        <w:pStyle w:val="ConsPlusNormal0"/>
        <w:jc w:val="both"/>
        <w:rPr>
          <w:rFonts w:ascii="Times New Roman" w:hAnsi="Times New Roman" w:cs="Times New Roman"/>
          <w:b/>
          <w:sz w:val="28"/>
          <w:szCs w:val="28"/>
        </w:rPr>
      </w:pP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Основные направления налоговой, бюджетной и долговой политики Тейковского муниципального района на 2017 – 2022 годы разработаны в целях долгосрочного стратегического планирования в соответствии со статьями 172, 184.2 Бюджетного кодекса Российской Федерации (далее - Бюджетный кодекс), стратегическими целями развития Тейковского муниципального района до 2020 года, и в условиях неизменного бюджетного и налогового законодательства.</w:t>
      </w:r>
    </w:p>
    <w:p w:rsidR="00B33F35" w:rsidRPr="005E3905" w:rsidRDefault="00B33F35" w:rsidP="00B33F35">
      <w:pPr>
        <w:pStyle w:val="ConsPlusNormal0"/>
        <w:ind w:firstLine="567"/>
        <w:jc w:val="both"/>
        <w:outlineLvl w:val="1"/>
        <w:rPr>
          <w:rFonts w:ascii="Times New Roman" w:hAnsi="Times New Roman" w:cs="Times New Roman"/>
          <w:sz w:val="28"/>
          <w:szCs w:val="28"/>
        </w:rPr>
      </w:pPr>
      <w:r w:rsidRPr="005E3905">
        <w:rPr>
          <w:rFonts w:ascii="Times New Roman" w:hAnsi="Times New Roman" w:cs="Times New Roman"/>
          <w:sz w:val="28"/>
          <w:szCs w:val="28"/>
        </w:rPr>
        <w:t xml:space="preserve">Бюджетная и налоговая политика Тейковского муниципального </w:t>
      </w:r>
      <w:proofErr w:type="gramStart"/>
      <w:r w:rsidRPr="005E3905">
        <w:rPr>
          <w:rFonts w:ascii="Times New Roman" w:hAnsi="Times New Roman" w:cs="Times New Roman"/>
          <w:sz w:val="28"/>
          <w:szCs w:val="28"/>
        </w:rPr>
        <w:t>района  на</w:t>
      </w:r>
      <w:proofErr w:type="gramEnd"/>
      <w:r w:rsidRPr="005E3905">
        <w:rPr>
          <w:rFonts w:ascii="Times New Roman" w:hAnsi="Times New Roman" w:cs="Times New Roman"/>
          <w:sz w:val="28"/>
          <w:szCs w:val="28"/>
        </w:rPr>
        <w:t xml:space="preserve"> 2017-2022 годы обеспечивает  преемственность бюджетной и налоговой политики предыдущего планового периода,  является основой бюджетного планирования, обеспечения рационального и эффективного использования бюджетных средств и ориентирована на повышение качества жизни населения Тейковского муниципального района за счет создания условий для обеспечения граждан доступными и качественными бюджетными услугами.</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Бюджетная политика и налоговая политика  будет реализовываться на основе бюджетных принципов, установленных Бюджетным кодексом Российской Федерации. Обеспечение  устойчивости и сбалансированности бюджетной системы является приоритетной задачей бюджетной политики и налоговой политики.</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Основной целью  бюджетной и налоговой политики Тейковского муниципального района является создание условий для обеспечения устойчивого социально-экономического развития Тейковского муниципального района и повышения уровня качества жизни населения.</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Для достижения указанной цели необходимо также сосредоточить усилия на решении следующих основных задач:</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 сохранение и развитие доходных источников Тейковского муниципального района;</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 xml:space="preserve">- повышение эффективности расходов Тейковского муниципального района; </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lastRenderedPageBreak/>
        <w:t>- обеспечение долгосрочной сбалансированности и устойчивости бюджета Тейковского муниципального района;</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 повышение результативности расходов и эффективности управления финансовыми ресурсами;</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укрепление системы финансового контроля, повышение его роли в управлении бюджетным процессом;</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реализация принципов  открытости и прозрачности управления муниципальными финансами.</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Налоговая политика Тейковского муниципального  района в 2017-2022 годах будет направлена на обеспечение поступления в консолидированный бюджет Тейковского муниципального  района  всех доходных источников в запланированных объемах.</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Увеличению налогооблагаемой базы и доходных показателей консолидированного бюджета  Тейковского муниципального  района   будут  способствовать следующие направления работы:</w:t>
      </w:r>
    </w:p>
    <w:p w:rsidR="00B33F35" w:rsidRPr="005E3905" w:rsidRDefault="00B33F35" w:rsidP="00B33F35">
      <w:pPr>
        <w:tabs>
          <w:tab w:val="num" w:pos="0"/>
        </w:tabs>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взаимодействие с организациями - налогоплательщиками с целью достоверности и объективности прогнозирования доходных источников;</w:t>
      </w:r>
    </w:p>
    <w:p w:rsidR="00B33F35" w:rsidRPr="005E3905" w:rsidRDefault="00B33F35" w:rsidP="00B33F35">
      <w:pPr>
        <w:tabs>
          <w:tab w:val="num" w:pos="0"/>
        </w:tabs>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обеспечение качественного администрирования всех доходных источников  бюджета Тейковского муниципального района;</w:t>
      </w:r>
    </w:p>
    <w:p w:rsidR="00B33F35" w:rsidRPr="005E3905" w:rsidRDefault="00B33F35" w:rsidP="00B33F35">
      <w:pPr>
        <w:tabs>
          <w:tab w:val="num" w:pos="0"/>
        </w:tabs>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активизация работы всех заинтересованных структур в части актуализации базы данных, необходимой для начисления имущественных налогов, и расширения налогооблагаемой базы по ним;</w:t>
      </w:r>
    </w:p>
    <w:p w:rsidR="00B33F35" w:rsidRPr="005E3905" w:rsidRDefault="00B33F35" w:rsidP="00B33F35">
      <w:pPr>
        <w:tabs>
          <w:tab w:val="num" w:pos="0"/>
        </w:tabs>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взаимовыгодное сотрудничество с организациями, формирующими налоговый потенциал района;</w:t>
      </w:r>
    </w:p>
    <w:p w:rsidR="00B33F35" w:rsidRPr="005E3905" w:rsidRDefault="00B33F35" w:rsidP="00B33F35">
      <w:pPr>
        <w:tabs>
          <w:tab w:val="num" w:pos="0"/>
        </w:tabs>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совершенствование методов контроля легализации «теневой» заработной платы;</w:t>
      </w:r>
    </w:p>
    <w:p w:rsidR="00B33F35" w:rsidRPr="005E3905" w:rsidRDefault="00B33F35" w:rsidP="00B33F35">
      <w:pPr>
        <w:tabs>
          <w:tab w:val="num" w:pos="0"/>
        </w:tabs>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повышение эффективности управления муниципальной собственностью, в том числе за счет повышения качества претензионной  работы;</w:t>
      </w:r>
    </w:p>
    <w:p w:rsidR="00B33F35" w:rsidRPr="005E3905" w:rsidRDefault="00B33F35" w:rsidP="00B33F35">
      <w:pPr>
        <w:tabs>
          <w:tab w:val="num" w:pos="0"/>
        </w:tabs>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поиск новых источников пополнения бюджета Тейковского муниципального района.</w:t>
      </w:r>
    </w:p>
    <w:p w:rsidR="00B33F35" w:rsidRPr="005E3905" w:rsidRDefault="00B33F35" w:rsidP="00B33F35">
      <w:pPr>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Внесены ряд изменений в налоговое законодательство, в частности продлено действие системы налогообложения в виде единого налога на вмененный доход до 2021 года. Сохранение данного налогового режима позволит сохранить стабильный источник  налоговых доходов бюджета муниципального района.</w:t>
      </w:r>
    </w:p>
    <w:p w:rsidR="00B33F35" w:rsidRPr="005E3905" w:rsidRDefault="00B33F35" w:rsidP="00B33F35">
      <w:pPr>
        <w:tabs>
          <w:tab w:val="left" w:pos="7938"/>
        </w:tabs>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Бюджетная политика Тейковского муниципального района в сфере расходов ограничена возможностями  бюджета района по формированию его основных параметров и в первую очередь ориентирована на обеспечение в рамках законодательно установленных полномочий:</w:t>
      </w:r>
    </w:p>
    <w:p w:rsidR="00B33F35" w:rsidRPr="005E3905" w:rsidRDefault="00B33F35" w:rsidP="00B33F35">
      <w:pPr>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концентрации финансовых ресурсов на приоритетных направлениях расходования бюджетных средств, определенных муниципальными программами Тейковского муниципального района, прежде всего обеспечивающих решение поставленных в указах Президента Российской Федерации от 7 мая 2012 года задач;</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xml:space="preserve">- достижения целевых показателей, утвержденных муниципальными программами Тейковского муниципального района, планами мероприятий </w:t>
      </w:r>
      <w:r w:rsidRPr="005E3905">
        <w:rPr>
          <w:rFonts w:ascii="Times New Roman" w:hAnsi="Times New Roman" w:cs="Times New Roman"/>
          <w:sz w:val="28"/>
          <w:szCs w:val="28"/>
        </w:rPr>
        <w:lastRenderedPageBreak/>
        <w:t>(«дорожными картами») по развитию соответствующих отраслей, в том числе по поэтапному повышению заработной платы отдельных категорий работников учреждений бюджетной сферы;</w:t>
      </w:r>
    </w:p>
    <w:p w:rsidR="00B33F35" w:rsidRPr="005E3905" w:rsidRDefault="00B33F35" w:rsidP="00B33F35">
      <w:pPr>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xml:space="preserve">- совершенствования финансовых механизмов оказания муниципальных услуг (выполнения работ) бюджетными  учреждениями. Необходимо совершенствовать инструменты, обеспечивающие эффективное использование предоставленных бюджетным учреждениям субсидий на финансовое обеспечение муниципальных заданий на оказание муниципальных услуг (выполнение работ), в том числе по </w:t>
      </w:r>
      <w:proofErr w:type="gramStart"/>
      <w:r w:rsidRPr="005E3905">
        <w:rPr>
          <w:rFonts w:ascii="Times New Roman" w:hAnsi="Times New Roman" w:cs="Times New Roman"/>
          <w:sz w:val="28"/>
          <w:szCs w:val="28"/>
        </w:rPr>
        <w:t>организации  работы</w:t>
      </w:r>
      <w:proofErr w:type="gramEnd"/>
      <w:r w:rsidRPr="005E3905">
        <w:rPr>
          <w:rFonts w:ascii="Times New Roman" w:hAnsi="Times New Roman" w:cs="Times New Roman"/>
          <w:sz w:val="28"/>
          <w:szCs w:val="28"/>
        </w:rPr>
        <w:t xml:space="preserve"> по осуществлению контроля за выполнением муниципальных заданий путем проведения ежеквартального мониторинга. Наличие подобных инструментов является основой финансовой ответственности бюджетных  учреждений, без которой расходы на исполнение муниципальных заданий не могут стать эффективными;</w:t>
      </w:r>
    </w:p>
    <w:p w:rsidR="00B33F35" w:rsidRPr="005E3905" w:rsidRDefault="00B33F35" w:rsidP="00B33F35">
      <w:pPr>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равного доступа населения к социальным услугам в сфере образования, культуры и спорта, повышение качества предоставляемых услуг.</w:t>
      </w:r>
    </w:p>
    <w:p w:rsidR="00B33F35" w:rsidRPr="005E3905" w:rsidRDefault="00B33F35" w:rsidP="00B33F35">
      <w:pPr>
        <w:suppressAutoHyphens/>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xml:space="preserve">Главным инструментом реализации приоритетных бюджетных расходов остаются муниципальные программы Тейковского муниципального района, где основное внимание необходимо уделять повышению требований к качеству   разработки и реализации муниципальных программ Тейковского муниципального района. Руководителям ответственных исполнителей муниципальных программ необходимо определять ключевые показатели деятельности, способы их достижения в рамках имеющихся ресурсных ограничений. </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 xml:space="preserve">В целях повышения эффективности осуществления капитальных вложений необходимо создание условий, направленных на снижение рисков срыва сроков строительства, реконструкции объектов капитального строительства. При этом планирование бюджетных ассигнований на осуществление капитальных вложений в части строительства самого объекта должно реализовываться только при наличии утвержденной проектной документации (проектной документации, прошедшей государственную экспертизу). Рассмотрение предложений по новым объектам предполагается при наличии в муниципальной программе ресурсов, достаточных для содержания действующих и вводимых объектов. </w:t>
      </w:r>
    </w:p>
    <w:p w:rsidR="00B33F35" w:rsidRPr="005E3905" w:rsidRDefault="00B33F35" w:rsidP="00B33F35">
      <w:pPr>
        <w:spacing w:after="0" w:line="240" w:lineRule="auto"/>
        <w:jc w:val="both"/>
        <w:rPr>
          <w:rFonts w:ascii="Times New Roman" w:hAnsi="Times New Roman" w:cs="Times New Roman"/>
          <w:sz w:val="28"/>
          <w:szCs w:val="28"/>
        </w:rPr>
      </w:pPr>
      <w:r w:rsidRPr="005E3905">
        <w:rPr>
          <w:rFonts w:ascii="Times New Roman" w:hAnsi="Times New Roman" w:cs="Times New Roman"/>
          <w:sz w:val="28"/>
          <w:szCs w:val="28"/>
        </w:rPr>
        <w:t>Бюджетная политика в сфере муниципального управления будет направлена на:</w:t>
      </w:r>
    </w:p>
    <w:p w:rsidR="00B33F35" w:rsidRPr="005E3905" w:rsidRDefault="00B33F35" w:rsidP="00B33F35">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xml:space="preserve"> - оптимизацию расходов на содержание органов местного самоуправления Тейковского муниципального района; </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соблюдение установленных Правительством Ивановской области нормативов формирования расходов на содержание органов местного самоуправления;</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повышение эффективности деятельности органов местного самоуправления Тейковского муниципального района  за счет внедрения автоматизированных информационных систем.</w:t>
      </w:r>
    </w:p>
    <w:p w:rsidR="00B33F35" w:rsidRPr="005E3905" w:rsidRDefault="00B33F35" w:rsidP="00B33F35">
      <w:pPr>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В сфере образования одним из приоритетных направлений является расширение и укрепление потенциала системы образования Тейковского муниципального района.</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bCs/>
          <w:sz w:val="28"/>
          <w:szCs w:val="28"/>
        </w:rPr>
      </w:pPr>
      <w:r w:rsidRPr="005E3905">
        <w:rPr>
          <w:rFonts w:ascii="Times New Roman" w:hAnsi="Times New Roman" w:cs="Times New Roman"/>
          <w:bCs/>
          <w:sz w:val="28"/>
          <w:szCs w:val="28"/>
        </w:rPr>
        <w:lastRenderedPageBreak/>
        <w:t xml:space="preserve">В 2017 - 2022 годах будет продолжена работа по обеспечению граждан  доступными и качественными государственными (муниципальными) услугами, независимо от места их оказания, ориентированными  на содействие социальному и экономическому развитию района, а также на повышение эффективности и результативности бюджетных расходов в сфере образования. </w:t>
      </w:r>
    </w:p>
    <w:p w:rsidR="00B33F35" w:rsidRPr="005E3905" w:rsidRDefault="00B33F35" w:rsidP="00B33F35">
      <w:pPr>
        <w:pStyle w:val="a6"/>
        <w:tabs>
          <w:tab w:val="left" w:pos="567"/>
        </w:tabs>
        <w:ind w:firstLine="567"/>
        <w:jc w:val="both"/>
        <w:rPr>
          <w:rFonts w:ascii="Times New Roman" w:hAnsi="Times New Roman"/>
          <w:sz w:val="28"/>
          <w:szCs w:val="28"/>
        </w:rPr>
      </w:pPr>
      <w:r w:rsidRPr="005E3905">
        <w:rPr>
          <w:rFonts w:ascii="Times New Roman" w:hAnsi="Times New Roman"/>
          <w:bCs/>
          <w:sz w:val="28"/>
          <w:szCs w:val="28"/>
        </w:rPr>
        <w:t>В 2017 – 2022 годах будет организована работа по разработке и внедрению региональной системы</w:t>
      </w:r>
      <w:r w:rsidRPr="005E3905">
        <w:rPr>
          <w:rFonts w:ascii="Times New Roman" w:hAnsi="Times New Roman"/>
          <w:sz w:val="28"/>
          <w:szCs w:val="28"/>
        </w:rPr>
        <w:t xml:space="preserve"> оценки качества дошкольного, начального основного, среднего общего и дополнительного образования детей.</w:t>
      </w:r>
    </w:p>
    <w:p w:rsidR="00B33F35" w:rsidRPr="005E3905" w:rsidRDefault="00B33F35" w:rsidP="00B33F35">
      <w:pPr>
        <w:spacing w:after="0" w:line="240" w:lineRule="auto"/>
        <w:jc w:val="both"/>
        <w:rPr>
          <w:rFonts w:ascii="Times New Roman" w:hAnsi="Times New Roman" w:cs="Times New Roman"/>
          <w:sz w:val="28"/>
          <w:szCs w:val="28"/>
        </w:rPr>
      </w:pPr>
      <w:r w:rsidRPr="005E3905">
        <w:rPr>
          <w:rFonts w:ascii="Times New Roman" w:hAnsi="Times New Roman" w:cs="Times New Roman"/>
          <w:sz w:val="28"/>
          <w:szCs w:val="28"/>
        </w:rPr>
        <w:t>Основными задачами на ближайшую перспективу  являются:</w:t>
      </w:r>
    </w:p>
    <w:p w:rsidR="00B33F35" w:rsidRPr="005E3905" w:rsidRDefault="00B33F35" w:rsidP="00B33F35">
      <w:pPr>
        <w:spacing w:after="0" w:line="240" w:lineRule="auto"/>
        <w:jc w:val="both"/>
        <w:rPr>
          <w:rFonts w:ascii="Times New Roman" w:hAnsi="Times New Roman" w:cs="Times New Roman"/>
          <w:sz w:val="28"/>
          <w:szCs w:val="28"/>
        </w:rPr>
      </w:pPr>
      <w:r w:rsidRPr="005E3905">
        <w:rPr>
          <w:rFonts w:ascii="Times New Roman" w:hAnsi="Times New Roman" w:cs="Times New Roman"/>
          <w:sz w:val="28"/>
          <w:szCs w:val="28"/>
        </w:rPr>
        <w:t xml:space="preserve">в сфере дошкольного образования: </w:t>
      </w:r>
    </w:p>
    <w:p w:rsidR="00B33F35" w:rsidRPr="005E3905" w:rsidRDefault="00B33F35" w:rsidP="00B33F35">
      <w:pPr>
        <w:pStyle w:val="a6"/>
        <w:ind w:firstLine="567"/>
        <w:jc w:val="both"/>
        <w:rPr>
          <w:rFonts w:ascii="Times New Roman" w:hAnsi="Times New Roman"/>
          <w:sz w:val="28"/>
          <w:szCs w:val="28"/>
        </w:rPr>
      </w:pPr>
      <w:r w:rsidRPr="005E3905">
        <w:rPr>
          <w:rFonts w:ascii="Times New Roman" w:hAnsi="Times New Roman"/>
          <w:sz w:val="28"/>
          <w:szCs w:val="28"/>
        </w:rPr>
        <w:t>- создание дополнительных мест в муниципальных дошкольных образовательных организациях различных типов, а так же развитие вариантных форм дошкольного образования;</w:t>
      </w:r>
    </w:p>
    <w:p w:rsidR="00B33F35" w:rsidRPr="005E3905" w:rsidRDefault="00B33F35" w:rsidP="00B33F35">
      <w:pPr>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в системе общего образования:</w:t>
      </w:r>
    </w:p>
    <w:p w:rsidR="00B33F35" w:rsidRPr="005E3905" w:rsidRDefault="00B33F35" w:rsidP="00B33F35">
      <w:pPr>
        <w:pStyle w:val="a6"/>
        <w:ind w:firstLine="567"/>
        <w:jc w:val="both"/>
        <w:rPr>
          <w:rFonts w:ascii="Times New Roman" w:hAnsi="Times New Roman"/>
          <w:sz w:val="28"/>
          <w:szCs w:val="28"/>
        </w:rPr>
      </w:pPr>
      <w:r w:rsidRPr="005E3905">
        <w:rPr>
          <w:rFonts w:ascii="Times New Roman" w:hAnsi="Times New Roman"/>
          <w:sz w:val="28"/>
          <w:szCs w:val="28"/>
        </w:rPr>
        <w:t>- обеспечение внедрения и применения федеральных государственных образовательных стандартов начального общего, основного общего и среднего общего образования, начального общего образования обучающихся с ограниченными возможностями здоровья;</w:t>
      </w:r>
    </w:p>
    <w:p w:rsidR="00B33F35" w:rsidRPr="005E3905" w:rsidRDefault="00B33F35" w:rsidP="00B33F35">
      <w:pPr>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в системе дополнительного образования детей:</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обеспечение обновления содержания программ и технологий дополнительного образования детей, развития сетевого взаимодействия общеобразовательных организаций дополнительного образования.</w:t>
      </w:r>
    </w:p>
    <w:p w:rsidR="00B33F35" w:rsidRPr="005E3905" w:rsidRDefault="00B33F35" w:rsidP="00B33F35">
      <w:pPr>
        <w:pStyle w:val="a5"/>
        <w:spacing w:before="0" w:beforeAutospacing="0" w:after="0" w:afterAutospacing="0" w:line="240" w:lineRule="auto"/>
        <w:ind w:firstLine="567"/>
        <w:jc w:val="both"/>
        <w:rPr>
          <w:sz w:val="28"/>
          <w:szCs w:val="28"/>
        </w:rPr>
      </w:pPr>
      <w:r w:rsidRPr="005E3905">
        <w:rPr>
          <w:sz w:val="28"/>
          <w:szCs w:val="28"/>
        </w:rPr>
        <w:t>В сфере молодежной политики одним из приоритетных направлений в Тейковском муниципальном районе будет являться проведение мероприятий по развитию общественной молодежной инициативы, патриотическому воспитанию молодежи, включая мероприятия по подготовке к военной службе, что позволит обеспечить решение поставленных задач в указанной сфере деятельности.</w:t>
      </w:r>
    </w:p>
    <w:p w:rsidR="00B33F35" w:rsidRPr="005E3905" w:rsidRDefault="00B33F35" w:rsidP="00B33F35">
      <w:pPr>
        <w:pStyle w:val="a5"/>
        <w:spacing w:before="0" w:beforeAutospacing="0" w:after="0" w:afterAutospacing="0" w:line="240" w:lineRule="auto"/>
        <w:ind w:firstLine="567"/>
        <w:jc w:val="both"/>
        <w:rPr>
          <w:rFonts w:eastAsia="Calibri"/>
          <w:sz w:val="28"/>
          <w:szCs w:val="28"/>
        </w:rPr>
      </w:pPr>
      <w:r w:rsidRPr="005E3905">
        <w:rPr>
          <w:rFonts w:eastAsia="Calibri"/>
          <w:sz w:val="28"/>
          <w:szCs w:val="28"/>
        </w:rPr>
        <w:t>Особое внимание будет уделено  разработке комплекса мер, направленных на  выявление и поддержку одаренных детей и молодежи.</w:t>
      </w:r>
    </w:p>
    <w:p w:rsidR="00B33F35" w:rsidRPr="005E3905" w:rsidRDefault="00B33F35" w:rsidP="00B33F35">
      <w:pPr>
        <w:pStyle w:val="a5"/>
        <w:spacing w:before="0" w:beforeAutospacing="0" w:after="0" w:afterAutospacing="0" w:line="240" w:lineRule="auto"/>
        <w:ind w:firstLine="567"/>
        <w:jc w:val="both"/>
        <w:rPr>
          <w:sz w:val="28"/>
          <w:szCs w:val="28"/>
        </w:rPr>
      </w:pPr>
      <w:r w:rsidRPr="005E3905">
        <w:rPr>
          <w:sz w:val="28"/>
          <w:szCs w:val="28"/>
        </w:rPr>
        <w:t xml:space="preserve">В сфере организации отдыха детей продолжится работа по организации отдыха в каникулярное время на базе  лагерей  дневного пребывания, развитие </w:t>
      </w:r>
      <w:proofErr w:type="spellStart"/>
      <w:r w:rsidRPr="005E3905">
        <w:rPr>
          <w:sz w:val="28"/>
          <w:szCs w:val="28"/>
        </w:rPr>
        <w:t>малозатратных</w:t>
      </w:r>
      <w:proofErr w:type="spellEnd"/>
      <w:r w:rsidRPr="005E3905">
        <w:rPr>
          <w:sz w:val="28"/>
          <w:szCs w:val="28"/>
        </w:rPr>
        <w:t xml:space="preserve"> форм отдыха.</w:t>
      </w:r>
    </w:p>
    <w:p w:rsidR="00B33F35" w:rsidRPr="005E3905" w:rsidRDefault="00B33F35" w:rsidP="00B33F35">
      <w:pPr>
        <w:pStyle w:val="a5"/>
        <w:spacing w:before="0" w:beforeAutospacing="0" w:after="0" w:afterAutospacing="0" w:line="240" w:lineRule="auto"/>
        <w:ind w:firstLine="567"/>
        <w:jc w:val="both"/>
        <w:rPr>
          <w:rFonts w:eastAsia="Calibri"/>
          <w:sz w:val="28"/>
          <w:szCs w:val="28"/>
        </w:rPr>
      </w:pPr>
      <w:r w:rsidRPr="005E3905">
        <w:rPr>
          <w:rFonts w:eastAsia="Calibri"/>
          <w:sz w:val="28"/>
          <w:szCs w:val="28"/>
        </w:rPr>
        <w:t xml:space="preserve">В сфере культуры основные усилия будут направлены на создание условий для развития местного традиционного художественного творчества, для организации досуга жителей района и обеспечения их услугами организаций культуры  в соответствии с законодательством, развитие туризма в районе. </w:t>
      </w:r>
    </w:p>
    <w:p w:rsidR="00B33F35" w:rsidRPr="005E3905" w:rsidRDefault="00B33F35" w:rsidP="00B33F35">
      <w:pPr>
        <w:spacing w:after="0" w:line="240" w:lineRule="auto"/>
        <w:ind w:firstLine="567"/>
        <w:jc w:val="both"/>
        <w:rPr>
          <w:rFonts w:ascii="Times New Roman" w:eastAsia="Calibri" w:hAnsi="Times New Roman" w:cs="Times New Roman"/>
          <w:sz w:val="28"/>
          <w:szCs w:val="28"/>
        </w:rPr>
      </w:pPr>
      <w:r w:rsidRPr="005E3905">
        <w:rPr>
          <w:rFonts w:ascii="Times New Roman" w:eastAsia="Calibri" w:hAnsi="Times New Roman" w:cs="Times New Roman"/>
          <w:sz w:val="28"/>
          <w:szCs w:val="28"/>
        </w:rPr>
        <w:t>В сфере физической культуры, спорта основные усилия будут направлены на организацию физкультурных мероприятий, спортивных мероприятий, увеличение числа  занимающихся физкультурой и спортом и участие спортсменов Тейковского муниципального района в межрайонных, областных соревнованиях,  развитие туризма в районе.</w:t>
      </w:r>
    </w:p>
    <w:p w:rsidR="00B33F35" w:rsidRPr="005E3905" w:rsidRDefault="00B33F35" w:rsidP="00B33F35">
      <w:pPr>
        <w:spacing w:after="0" w:line="240" w:lineRule="auto"/>
        <w:ind w:firstLine="567"/>
        <w:jc w:val="both"/>
        <w:rPr>
          <w:rFonts w:ascii="Times New Roman" w:eastAsia="Calibri" w:hAnsi="Times New Roman" w:cs="Times New Roman"/>
          <w:sz w:val="28"/>
          <w:szCs w:val="28"/>
        </w:rPr>
      </w:pPr>
      <w:r w:rsidRPr="005E3905">
        <w:rPr>
          <w:rFonts w:ascii="Times New Roman" w:eastAsia="Calibri" w:hAnsi="Times New Roman" w:cs="Times New Roman"/>
          <w:sz w:val="28"/>
          <w:szCs w:val="28"/>
        </w:rPr>
        <w:t xml:space="preserve">Во исполнение Указа Президента Российской Федерации от 24.03.2014г. № 172 «О Всероссийском физкультурно-спортивном комплексе «Готов к труду и обороне» (ГТО) большое внимание будет уделяться реализации </w:t>
      </w:r>
      <w:r w:rsidRPr="005E3905">
        <w:rPr>
          <w:rFonts w:ascii="Times New Roman" w:eastAsia="Calibri" w:hAnsi="Times New Roman" w:cs="Times New Roman"/>
          <w:sz w:val="28"/>
          <w:szCs w:val="28"/>
        </w:rPr>
        <w:lastRenderedPageBreak/>
        <w:t xml:space="preserve">мероприятий по внедрению </w:t>
      </w:r>
      <w:r w:rsidRPr="005E3905">
        <w:rPr>
          <w:rFonts w:ascii="Times New Roman" w:hAnsi="Times New Roman" w:cs="Times New Roman"/>
          <w:sz w:val="28"/>
          <w:szCs w:val="28"/>
        </w:rPr>
        <w:t>Всероссийского физкультурно-спортивного комплекса «Готов к труду и обороне».</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В связи с принятием полномочий по жилищно-коммунальному хозяйству  направлениями развития Тейковского муниципального района в данной сфере будут:</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1. Совершенствование организации содержания и капитального ремонта муниципального жилищного фонда;</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2. Совершенствование организации в границах муниципального района электро-,   тепло-, газо-, водоснабжения и водоотведения;</w:t>
      </w:r>
    </w:p>
    <w:p w:rsidR="00B33F35" w:rsidRPr="005E3905" w:rsidRDefault="00B33F35" w:rsidP="00B33F35">
      <w:pPr>
        <w:pStyle w:val="ConsPlusNormal0"/>
        <w:ind w:firstLine="567"/>
        <w:jc w:val="both"/>
        <w:rPr>
          <w:rFonts w:ascii="Times New Roman" w:hAnsi="Times New Roman" w:cs="Times New Roman"/>
          <w:sz w:val="28"/>
          <w:szCs w:val="28"/>
        </w:rPr>
      </w:pPr>
      <w:r w:rsidRPr="005E3905">
        <w:rPr>
          <w:rFonts w:ascii="Times New Roman" w:hAnsi="Times New Roman" w:cs="Times New Roman"/>
          <w:sz w:val="28"/>
          <w:szCs w:val="28"/>
        </w:rPr>
        <w:t>3. Совершенствование  организации и содержанию мест захоронения.</w:t>
      </w:r>
    </w:p>
    <w:p w:rsidR="00B33F35" w:rsidRPr="005E3905" w:rsidRDefault="00B33F35" w:rsidP="00B33F35">
      <w:pPr>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Приоритетным направлением развития Тейковского муниципального района на 2017 - 2022 годы остается дальнейшее развитие дорожной инфраструктуры, сохранение и повышение транспортно-эксплуатационного состояния сети автодорог местного значения  Тейковского муниципального района   за счет своевременного проведения комплекса работ по содержанию и ремонту дорог,  обеспечивающее безопасные перевозки грузов и пассажиров, улучшение экологической обстановки, а также сохранение и поддержание достигнутого уровня автомобильных дорог. Для  качественного достижения указанных целей  будут выделены бюджетные ассигнования, которые будут направлены на  капитальный ремонт, текущий  ремонт и  содержание автомобильных дорог местного значения Тейковского муниципального района. Направление средств на ремонт дорожной сети позволит обеспечить надлежащее транспортно-эксплуатационное состояние дорожной сети, снизить уровень аварийности на  автомобильных дорогах.</w:t>
      </w:r>
    </w:p>
    <w:p w:rsidR="00B33F35" w:rsidRPr="005E3905" w:rsidRDefault="00B33F35" w:rsidP="00B33F35">
      <w:pPr>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 xml:space="preserve">В шестилетней перспективе 2017-2022 годов политика в сфере малого и среднего предпринимательства будет направлена на дальнейшее совершенствование существующих механизмов и реализацию новых направлений  поддержки.  </w:t>
      </w:r>
    </w:p>
    <w:p w:rsidR="00B33F35" w:rsidRPr="005E390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Бюджетная политика в области сельского хозяйства будет направлена на поддержку муниципальных сельскохозяйственных предприятий.</w:t>
      </w:r>
    </w:p>
    <w:p w:rsidR="00B33F35" w:rsidRDefault="00B33F35" w:rsidP="00B33F35">
      <w:pPr>
        <w:autoSpaceDE w:val="0"/>
        <w:autoSpaceDN w:val="0"/>
        <w:adjustRightInd w:val="0"/>
        <w:spacing w:after="0" w:line="240" w:lineRule="auto"/>
        <w:ind w:firstLine="567"/>
        <w:jc w:val="both"/>
        <w:rPr>
          <w:rFonts w:ascii="Times New Roman" w:hAnsi="Times New Roman" w:cs="Times New Roman"/>
          <w:sz w:val="28"/>
          <w:szCs w:val="28"/>
        </w:rPr>
      </w:pPr>
      <w:r w:rsidRPr="005E3905">
        <w:rPr>
          <w:rFonts w:ascii="Times New Roman" w:hAnsi="Times New Roman" w:cs="Times New Roman"/>
          <w:sz w:val="28"/>
          <w:szCs w:val="28"/>
        </w:rPr>
        <w:t>Политика в области муниципального долга Тейковского муниципального района на 2017 – 2022 г.г. будет направлена на исполнение принятых обязательств без привлечения заемных средств.</w:t>
      </w:r>
    </w:p>
    <w:p w:rsidR="00B33F35" w:rsidRPr="005E3905" w:rsidRDefault="00B33F35" w:rsidP="00B33F35">
      <w:pPr>
        <w:autoSpaceDE w:val="0"/>
        <w:autoSpaceDN w:val="0"/>
        <w:adjustRightInd w:val="0"/>
        <w:spacing w:after="0" w:line="240" w:lineRule="auto"/>
        <w:jc w:val="both"/>
        <w:rPr>
          <w:rFonts w:ascii="Times New Roman" w:hAnsi="Times New Roman" w:cs="Times New Roman"/>
          <w:sz w:val="28"/>
          <w:szCs w:val="28"/>
        </w:rPr>
      </w:pPr>
    </w:p>
    <w:p w:rsidR="00B33F35" w:rsidRPr="00E2507D" w:rsidRDefault="00B33F35" w:rsidP="00B33F35">
      <w:pPr>
        <w:pStyle w:val="ConsPlusNormal0"/>
        <w:jc w:val="center"/>
        <w:rPr>
          <w:rFonts w:ascii="Times New Roman" w:hAnsi="Times New Roman" w:cs="Times New Roman"/>
          <w:b/>
          <w:sz w:val="28"/>
          <w:szCs w:val="28"/>
        </w:rPr>
      </w:pPr>
      <w:r w:rsidRPr="00E2507D">
        <w:rPr>
          <w:rFonts w:ascii="Times New Roman" w:hAnsi="Times New Roman" w:cs="Times New Roman"/>
          <w:b/>
          <w:sz w:val="28"/>
          <w:szCs w:val="28"/>
        </w:rPr>
        <w:t xml:space="preserve">3. Прогноз основных характеристик бюджета Тейковского </w:t>
      </w:r>
    </w:p>
    <w:p w:rsidR="00B33F35" w:rsidRDefault="00B33F35" w:rsidP="00B33F35">
      <w:pPr>
        <w:pStyle w:val="ConsPlusNormal0"/>
        <w:jc w:val="center"/>
        <w:rPr>
          <w:rFonts w:ascii="Times New Roman" w:hAnsi="Times New Roman" w:cs="Times New Roman"/>
          <w:b/>
          <w:sz w:val="28"/>
          <w:szCs w:val="28"/>
        </w:rPr>
      </w:pPr>
      <w:r w:rsidRPr="00E2507D">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на долгосрочный период до 2022 года</w:t>
      </w:r>
    </w:p>
    <w:p w:rsidR="00B33F35" w:rsidRDefault="00B33F35" w:rsidP="00B33F35">
      <w:pPr>
        <w:pStyle w:val="ConsPlusNormal0"/>
        <w:jc w:val="center"/>
        <w:rPr>
          <w:rFonts w:ascii="Times New Roman" w:hAnsi="Times New Roman" w:cs="Times New Roman"/>
          <w:b/>
          <w:sz w:val="28"/>
          <w:szCs w:val="28"/>
        </w:rPr>
      </w:pP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 xml:space="preserve">Бюджетный прогноз </w:t>
      </w:r>
      <w:r w:rsidRPr="005E3905">
        <w:rPr>
          <w:sz w:val="28"/>
          <w:szCs w:val="28"/>
        </w:rPr>
        <w:t>Тейковского муниципального района</w:t>
      </w:r>
      <w:r w:rsidRPr="00970808">
        <w:rPr>
          <w:sz w:val="28"/>
          <w:szCs w:val="28"/>
        </w:rPr>
        <w:t xml:space="preserve"> </w:t>
      </w:r>
      <w:r>
        <w:rPr>
          <w:sz w:val="28"/>
          <w:szCs w:val="28"/>
        </w:rPr>
        <w:t xml:space="preserve">на долгосрочный период </w:t>
      </w:r>
      <w:r w:rsidRPr="00970808">
        <w:rPr>
          <w:sz w:val="28"/>
          <w:szCs w:val="28"/>
        </w:rPr>
        <w:t>до 202</w:t>
      </w:r>
      <w:r>
        <w:rPr>
          <w:sz w:val="28"/>
          <w:szCs w:val="28"/>
        </w:rPr>
        <w:t xml:space="preserve">2 </w:t>
      </w:r>
      <w:r w:rsidRPr="00970808">
        <w:rPr>
          <w:sz w:val="28"/>
          <w:szCs w:val="28"/>
        </w:rPr>
        <w:t xml:space="preserve">года сформирован в соответствии с Прогнозом социально-экономического развития </w:t>
      </w:r>
      <w:r w:rsidRPr="005E3905">
        <w:rPr>
          <w:sz w:val="28"/>
          <w:szCs w:val="28"/>
        </w:rPr>
        <w:t>Тейковского муниципального района</w:t>
      </w:r>
      <w:r w:rsidRPr="00970808">
        <w:rPr>
          <w:sz w:val="28"/>
          <w:szCs w:val="28"/>
        </w:rPr>
        <w:t xml:space="preserve">, утвержденным постановлением администрации </w:t>
      </w:r>
      <w:r>
        <w:rPr>
          <w:sz w:val="28"/>
          <w:szCs w:val="28"/>
        </w:rPr>
        <w:t>Тейковского муниципального района</w:t>
      </w:r>
      <w:r w:rsidRPr="00970808">
        <w:rPr>
          <w:sz w:val="28"/>
          <w:szCs w:val="28"/>
        </w:rPr>
        <w:t xml:space="preserve"> от </w:t>
      </w:r>
      <w:r>
        <w:rPr>
          <w:sz w:val="28"/>
          <w:szCs w:val="28"/>
        </w:rPr>
        <w:t>18</w:t>
      </w:r>
      <w:r w:rsidRPr="00970808">
        <w:rPr>
          <w:sz w:val="28"/>
          <w:szCs w:val="28"/>
        </w:rPr>
        <w:t xml:space="preserve"> </w:t>
      </w:r>
      <w:r>
        <w:rPr>
          <w:sz w:val="28"/>
          <w:szCs w:val="28"/>
        </w:rPr>
        <w:t>ноя</w:t>
      </w:r>
      <w:r w:rsidRPr="00970808">
        <w:rPr>
          <w:sz w:val="28"/>
          <w:szCs w:val="28"/>
        </w:rPr>
        <w:t>бря 201</w:t>
      </w:r>
      <w:r>
        <w:rPr>
          <w:sz w:val="28"/>
          <w:szCs w:val="28"/>
        </w:rPr>
        <w:t>6</w:t>
      </w:r>
      <w:r w:rsidRPr="00970808">
        <w:rPr>
          <w:sz w:val="28"/>
          <w:szCs w:val="28"/>
        </w:rPr>
        <w:t xml:space="preserve"> года</w:t>
      </w:r>
      <w:r>
        <w:rPr>
          <w:sz w:val="28"/>
          <w:szCs w:val="28"/>
        </w:rPr>
        <w:t xml:space="preserve"> </w:t>
      </w:r>
      <w:r w:rsidRPr="00970808">
        <w:rPr>
          <w:sz w:val="28"/>
          <w:szCs w:val="28"/>
        </w:rPr>
        <w:t xml:space="preserve">№ </w:t>
      </w:r>
      <w:r>
        <w:rPr>
          <w:sz w:val="28"/>
          <w:szCs w:val="28"/>
        </w:rPr>
        <w:t>185</w:t>
      </w:r>
      <w:r w:rsidRPr="00970808">
        <w:rPr>
          <w:sz w:val="28"/>
          <w:szCs w:val="28"/>
        </w:rPr>
        <w:t>.</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Общее замедление темпов экономического развития в 201</w:t>
      </w:r>
      <w:r>
        <w:rPr>
          <w:sz w:val="28"/>
          <w:szCs w:val="28"/>
        </w:rPr>
        <w:t>5</w:t>
      </w:r>
      <w:r w:rsidRPr="00970808">
        <w:rPr>
          <w:sz w:val="28"/>
          <w:szCs w:val="28"/>
        </w:rPr>
        <w:t>-201</w:t>
      </w:r>
      <w:r>
        <w:rPr>
          <w:sz w:val="28"/>
          <w:szCs w:val="28"/>
        </w:rPr>
        <w:t>6</w:t>
      </w:r>
      <w:r w:rsidRPr="00970808">
        <w:rPr>
          <w:sz w:val="28"/>
          <w:szCs w:val="28"/>
        </w:rPr>
        <w:t xml:space="preserve"> годах в связи с осложнением внешнеэкономической ситуации в России обуславливает необходимость </w:t>
      </w:r>
      <w:r>
        <w:rPr>
          <w:sz w:val="28"/>
          <w:szCs w:val="28"/>
        </w:rPr>
        <w:t>правильной оценки</w:t>
      </w:r>
      <w:r w:rsidRPr="00970808">
        <w:rPr>
          <w:sz w:val="28"/>
          <w:szCs w:val="28"/>
        </w:rPr>
        <w:t xml:space="preserve"> формирования бюджетного прогноза </w:t>
      </w:r>
      <w:r w:rsidRPr="005E3905">
        <w:rPr>
          <w:sz w:val="28"/>
          <w:szCs w:val="28"/>
        </w:rPr>
        <w:t>Тейковского муниципального района</w:t>
      </w:r>
      <w:r w:rsidRPr="00970808">
        <w:rPr>
          <w:sz w:val="28"/>
          <w:szCs w:val="28"/>
        </w:rPr>
        <w:t xml:space="preserve"> до 202</w:t>
      </w:r>
      <w:r>
        <w:rPr>
          <w:sz w:val="28"/>
          <w:szCs w:val="28"/>
        </w:rPr>
        <w:t>2</w:t>
      </w:r>
      <w:r w:rsidRPr="00970808">
        <w:rPr>
          <w:sz w:val="28"/>
          <w:szCs w:val="28"/>
        </w:rPr>
        <w:t xml:space="preserve"> года. Это позволит минимизировать риск завышения доходной части бюджета </w:t>
      </w:r>
      <w:r w:rsidRPr="005E3905">
        <w:rPr>
          <w:sz w:val="28"/>
          <w:szCs w:val="28"/>
        </w:rPr>
        <w:lastRenderedPageBreak/>
        <w:t>Тейковского муниципального района</w:t>
      </w:r>
      <w:r w:rsidRPr="00970808">
        <w:rPr>
          <w:sz w:val="28"/>
          <w:szCs w:val="28"/>
        </w:rPr>
        <w:t xml:space="preserve"> и предотвратить  принятие расходных обязательств, не соответствующих возможностям бюджета </w:t>
      </w:r>
      <w:r w:rsidRPr="005E3905">
        <w:rPr>
          <w:sz w:val="28"/>
          <w:szCs w:val="28"/>
        </w:rPr>
        <w:t>Тейковского муниципального района</w:t>
      </w:r>
      <w:r w:rsidRPr="00970808">
        <w:rPr>
          <w:sz w:val="28"/>
          <w:szCs w:val="28"/>
        </w:rPr>
        <w:t>.</w:t>
      </w:r>
    </w:p>
    <w:p w:rsidR="00B33F35" w:rsidRPr="00970808" w:rsidRDefault="00B33F35" w:rsidP="00B33F35">
      <w:pPr>
        <w:spacing w:after="0" w:line="240" w:lineRule="auto"/>
        <w:ind w:firstLine="709"/>
        <w:jc w:val="both"/>
        <w:rPr>
          <w:rFonts w:ascii="Times New Roman" w:hAnsi="Times New Roman" w:cs="Times New Roman"/>
          <w:sz w:val="28"/>
          <w:szCs w:val="28"/>
        </w:rPr>
      </w:pPr>
      <w:r w:rsidRPr="00970808">
        <w:rPr>
          <w:rFonts w:ascii="Times New Roman" w:hAnsi="Times New Roman" w:cs="Times New Roman"/>
          <w:sz w:val="28"/>
          <w:szCs w:val="28"/>
        </w:rPr>
        <w:t xml:space="preserve">Несмотря на консервативный подход к формированию доходной части бюджета, в </w:t>
      </w:r>
      <w:r>
        <w:rPr>
          <w:rFonts w:ascii="Times New Roman" w:hAnsi="Times New Roman" w:cs="Times New Roman"/>
          <w:sz w:val="28"/>
          <w:szCs w:val="28"/>
        </w:rPr>
        <w:t>район</w:t>
      </w:r>
      <w:r w:rsidRPr="00970808">
        <w:rPr>
          <w:rFonts w:ascii="Times New Roman" w:hAnsi="Times New Roman" w:cs="Times New Roman"/>
          <w:sz w:val="28"/>
          <w:szCs w:val="28"/>
        </w:rPr>
        <w:t>е будет продолжена реализация перспективных инвестиционных проектов.</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Существенное влияние на сбалансированность бюджета</w:t>
      </w:r>
      <w:r>
        <w:rPr>
          <w:sz w:val="28"/>
          <w:szCs w:val="28"/>
        </w:rPr>
        <w:t xml:space="preserve"> </w:t>
      </w:r>
      <w:r w:rsidRPr="005E3905">
        <w:rPr>
          <w:sz w:val="28"/>
          <w:szCs w:val="28"/>
        </w:rPr>
        <w:t>Тейковского муниципального района</w:t>
      </w:r>
      <w:r w:rsidRPr="00970808">
        <w:rPr>
          <w:sz w:val="28"/>
          <w:szCs w:val="28"/>
        </w:rPr>
        <w:t xml:space="preserve"> оказывают и иные факторы, наиболее значимым из которых является ожидаемое изменение демографической ситуации.</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Несмотря на достигнутый рост (стабилизацию) рождаемости, в долгосрочном периоде формируется общая для России тенденция сокращения доли населения в трудоспособном возрасте.</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В условиях сокращения численности населения в трудоспособном возрасте, достижение ожидаемых темпов экономического роста и, как следствие, рост заработной платы в реальном выражении могут быть обеспечены только при условии повышения производительности труда, в том числе в социальной сфере, за счет создания новых высококвалифицированных рабочих мест и опережающего роста инновационного развития экономики, что, в свою очередь, предъявляет высокие требования к улучшению инвестиционного климата, обеспечению макроэкономической стабильности, эффективности и прозрачности муниципального управления.</w:t>
      </w:r>
    </w:p>
    <w:p w:rsidR="00B33F35" w:rsidRDefault="00B33F35" w:rsidP="00B33F35">
      <w:pPr>
        <w:pStyle w:val="4"/>
        <w:shd w:val="clear" w:color="auto" w:fill="auto"/>
        <w:spacing w:after="0" w:line="240" w:lineRule="auto"/>
        <w:ind w:firstLine="709"/>
        <w:jc w:val="both"/>
        <w:rPr>
          <w:sz w:val="28"/>
          <w:szCs w:val="28"/>
        </w:rPr>
      </w:pPr>
      <w:r w:rsidRPr="00970808">
        <w:rPr>
          <w:sz w:val="28"/>
          <w:szCs w:val="28"/>
        </w:rPr>
        <w:t xml:space="preserve">Прогноз основных характеристик бюджета </w:t>
      </w:r>
      <w:r w:rsidRPr="005E3905">
        <w:rPr>
          <w:sz w:val="28"/>
          <w:szCs w:val="28"/>
        </w:rPr>
        <w:t>Тейковского муниципального района</w:t>
      </w:r>
      <w:r w:rsidRPr="00970808">
        <w:rPr>
          <w:sz w:val="28"/>
          <w:szCs w:val="28"/>
        </w:rPr>
        <w:t xml:space="preserve"> до 202</w:t>
      </w:r>
      <w:r>
        <w:rPr>
          <w:sz w:val="28"/>
          <w:szCs w:val="28"/>
        </w:rPr>
        <w:t>2</w:t>
      </w:r>
      <w:r w:rsidRPr="00970808">
        <w:rPr>
          <w:sz w:val="28"/>
          <w:szCs w:val="28"/>
        </w:rPr>
        <w:t xml:space="preserve"> года приведен в </w:t>
      </w:r>
      <w:r>
        <w:rPr>
          <w:sz w:val="28"/>
          <w:szCs w:val="28"/>
        </w:rPr>
        <w:t>нижеследующей таблице</w:t>
      </w:r>
      <w:r w:rsidR="00CA3727">
        <w:rPr>
          <w:sz w:val="28"/>
          <w:szCs w:val="28"/>
        </w:rPr>
        <w:t xml:space="preserve"> </w:t>
      </w:r>
      <w:r w:rsidR="00CA3727" w:rsidRPr="00CA3727">
        <w:rPr>
          <w:i/>
          <w:sz w:val="28"/>
          <w:szCs w:val="28"/>
        </w:rPr>
        <w:t>(в ред. постановления администрации Тейковского муниципального района от 29.12.2018 г. № 572)</w:t>
      </w:r>
      <w:r w:rsidRPr="00CA3727">
        <w:rPr>
          <w:sz w:val="28"/>
          <w:szCs w:val="28"/>
        </w:rPr>
        <w:t>:</w:t>
      </w:r>
    </w:p>
    <w:p w:rsidR="00CA3727" w:rsidRPr="00CA3727" w:rsidRDefault="00CA3727" w:rsidP="00B33F35">
      <w:pPr>
        <w:pStyle w:val="4"/>
        <w:shd w:val="clear" w:color="auto" w:fill="auto"/>
        <w:spacing w:after="0" w:line="240" w:lineRule="auto"/>
        <w:ind w:firstLine="709"/>
        <w:jc w:val="both"/>
        <w:rPr>
          <w:sz w:val="28"/>
          <w:szCs w:val="28"/>
        </w:rPr>
      </w:pPr>
    </w:p>
    <w:p w:rsidR="00B33F35" w:rsidRPr="00AB7C25" w:rsidRDefault="00B33F35" w:rsidP="00B33F35">
      <w:pPr>
        <w:pStyle w:val="ConsPlusNormal0"/>
        <w:ind w:right="120"/>
        <w:jc w:val="right"/>
        <w:rPr>
          <w:rFonts w:ascii="Times New Roman" w:hAnsi="Times New Roman" w:cs="Times New Roman"/>
          <w:sz w:val="24"/>
          <w:szCs w:val="24"/>
        </w:rPr>
      </w:pPr>
      <w:r w:rsidRPr="00AB7C25">
        <w:rPr>
          <w:rFonts w:ascii="Times New Roman" w:hAnsi="Times New Roman" w:cs="Times New Roman"/>
          <w:sz w:val="24"/>
          <w:szCs w:val="24"/>
        </w:rPr>
        <w:t>(тыс. руб.)</w:t>
      </w:r>
    </w:p>
    <w:tbl>
      <w:tblPr>
        <w:tblW w:w="9463" w:type="dxa"/>
        <w:tblInd w:w="204" w:type="dxa"/>
        <w:tblLayout w:type="fixed"/>
        <w:tblCellMar>
          <w:top w:w="102" w:type="dxa"/>
          <w:left w:w="62" w:type="dxa"/>
          <w:bottom w:w="102" w:type="dxa"/>
          <w:right w:w="62" w:type="dxa"/>
        </w:tblCellMar>
        <w:tblLook w:val="04A0" w:firstRow="1" w:lastRow="0" w:firstColumn="1" w:lastColumn="0" w:noHBand="0" w:noVBand="1"/>
      </w:tblPr>
      <w:tblGrid>
        <w:gridCol w:w="595"/>
        <w:gridCol w:w="2211"/>
        <w:gridCol w:w="1109"/>
        <w:gridCol w:w="1110"/>
        <w:gridCol w:w="1109"/>
        <w:gridCol w:w="1110"/>
        <w:gridCol w:w="1119"/>
        <w:gridCol w:w="1100"/>
      </w:tblGrid>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N п/п</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rPr>
                <w:rFonts w:ascii="Times New Roman" w:hAnsi="Times New Roman" w:cs="Times New Roman"/>
              </w:rPr>
            </w:pPr>
            <w:r w:rsidRPr="004E09FA">
              <w:rPr>
                <w:rFonts w:ascii="Times New Roman" w:hAnsi="Times New Roman" w:cs="Times New Roman"/>
              </w:rPr>
              <w:t>Наименование показателя</w:t>
            </w:r>
          </w:p>
        </w:tc>
        <w:tc>
          <w:tcPr>
            <w:tcW w:w="1109"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2017 год</w:t>
            </w:r>
          </w:p>
        </w:tc>
        <w:tc>
          <w:tcPr>
            <w:tcW w:w="1110"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Первый год планового периода</w:t>
            </w:r>
          </w:p>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(2018 год)</w:t>
            </w:r>
          </w:p>
        </w:tc>
        <w:tc>
          <w:tcPr>
            <w:tcW w:w="1109"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Второй год планового периода</w:t>
            </w:r>
          </w:p>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(2019 год)</w:t>
            </w:r>
          </w:p>
        </w:tc>
        <w:tc>
          <w:tcPr>
            <w:tcW w:w="1110"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2020 год</w:t>
            </w:r>
          </w:p>
        </w:tc>
        <w:tc>
          <w:tcPr>
            <w:tcW w:w="1119"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2021 год</w:t>
            </w:r>
          </w:p>
        </w:tc>
        <w:tc>
          <w:tcPr>
            <w:tcW w:w="1100"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2022 год</w:t>
            </w:r>
          </w:p>
        </w:tc>
      </w:tr>
      <w:tr w:rsidR="00CA3727" w:rsidRPr="004E09FA" w:rsidTr="00424F5A">
        <w:trPr>
          <w:trHeight w:val="165"/>
        </w:trPr>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Доходы бюджета - всего</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178733,9</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187314,8</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180028</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179671,9</w:t>
            </w: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181947,2</w:t>
            </w: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182266,5</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в том числе:</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1.1.</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налоговые доходы</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40561,2</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42056,9</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44574</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44809,5</w:t>
            </w: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47895,2</w:t>
            </w: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48309,3</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1.2.</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неналоговые доходы</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5850,1</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6825,3</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6364,3</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6510,6</w:t>
            </w: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7826,2</w:t>
            </w: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7731,4</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1.3.</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безвозмездные поступления</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132322,6</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138432,6</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129089,7</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128351,8</w:t>
            </w: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126225,8</w:t>
            </w: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126225,8</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Расходы бюджета - всего</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181802,6</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187314,8</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180028</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179671,9</w:t>
            </w: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181947,2</w:t>
            </w: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182266,5</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в том числе:</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2.1.</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на финансовое обеспечение муниципальных программ</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150806,8</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153430,9</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137280,5</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133573,6</w:t>
            </w: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5735,4</w:t>
            </w: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5735,4</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lastRenderedPageBreak/>
              <w:t>2.2.</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на непрограммные направления расходов бюджета</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30995,8</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33883,9</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42747,5</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46098,3</w:t>
            </w: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176211,8</w:t>
            </w: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176531,1</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3.</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Дефицит (профицит) бюджета</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3068,7</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0</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0</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4.</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Отношение дефицита бюджета к общему годовому объему доходов бюджета без учета объема безвозмездных поступлений (в процентах)</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6,6</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5.</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Источники финансирования дефицита бюджета - всего</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3068,7</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в том числе:</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 xml:space="preserve">5.1. </w:t>
            </w:r>
          </w:p>
        </w:tc>
        <w:tc>
          <w:tcPr>
            <w:tcW w:w="2211" w:type="dxa"/>
            <w:tcBorders>
              <w:top w:val="single" w:sz="4" w:space="0" w:color="auto"/>
              <w:left w:val="single" w:sz="4" w:space="0" w:color="auto"/>
              <w:bottom w:val="single" w:sz="4" w:space="0" w:color="auto"/>
              <w:right w:val="single" w:sz="4" w:space="0" w:color="auto"/>
            </w:tcBorders>
            <w:hideMark/>
          </w:tcPr>
          <w:p w:rsidR="00CA3727" w:rsidRDefault="00CA3727" w:rsidP="00424F5A">
            <w:pPr>
              <w:pStyle w:val="ConsPlusNormal0"/>
              <w:jc w:val="both"/>
              <w:rPr>
                <w:rFonts w:ascii="Times New Roman" w:hAnsi="Times New Roman" w:cs="Times New Roman"/>
              </w:rPr>
            </w:pPr>
            <w:r>
              <w:rPr>
                <w:rFonts w:ascii="Times New Roman" w:hAnsi="Times New Roman" w:cs="Times New Roman"/>
              </w:rPr>
              <w:t>Изменение остатков средств на счетах по учету средств бюджетов</w:t>
            </w:r>
          </w:p>
          <w:p w:rsidR="00CA3727" w:rsidRPr="004E09FA" w:rsidRDefault="00CA3727" w:rsidP="00424F5A">
            <w:pPr>
              <w:pStyle w:val="ConsPlusNormal0"/>
              <w:jc w:val="both"/>
              <w:rPr>
                <w:rFonts w:ascii="Times New Roman" w:hAnsi="Times New Roman" w:cs="Times New Roman"/>
              </w:rPr>
            </w:pPr>
            <w:r>
              <w:rPr>
                <w:rFonts w:ascii="Times New Roman" w:hAnsi="Times New Roman" w:cs="Times New Roman"/>
              </w:rPr>
              <w:t>Бюджетные кредиты, предоставленные внутри страны в валюте РФ</w:t>
            </w:r>
          </w:p>
        </w:tc>
        <w:tc>
          <w:tcPr>
            <w:tcW w:w="1109" w:type="dxa"/>
            <w:tcBorders>
              <w:top w:val="single" w:sz="4" w:space="0" w:color="auto"/>
              <w:left w:val="single" w:sz="4" w:space="0" w:color="auto"/>
              <w:bottom w:val="single" w:sz="4" w:space="0" w:color="auto"/>
              <w:right w:val="single" w:sz="4" w:space="0" w:color="auto"/>
            </w:tcBorders>
          </w:tcPr>
          <w:p w:rsidR="00CA3727" w:rsidRDefault="00CA3727" w:rsidP="00424F5A">
            <w:pPr>
              <w:pStyle w:val="ConsPlusNormal0"/>
              <w:jc w:val="center"/>
              <w:rPr>
                <w:rFonts w:ascii="Times New Roman" w:hAnsi="Times New Roman" w:cs="Times New Roman"/>
              </w:rPr>
            </w:pPr>
            <w:r>
              <w:rPr>
                <w:rFonts w:ascii="Times New Roman" w:hAnsi="Times New Roman" w:cs="Times New Roman"/>
              </w:rPr>
              <w:t>2708,7</w:t>
            </w:r>
          </w:p>
          <w:p w:rsidR="00CA3727" w:rsidRDefault="00CA3727" w:rsidP="00424F5A">
            <w:pPr>
              <w:pStyle w:val="ConsPlusNormal0"/>
              <w:jc w:val="center"/>
              <w:rPr>
                <w:rFonts w:ascii="Times New Roman" w:hAnsi="Times New Roman" w:cs="Times New Roman"/>
              </w:rPr>
            </w:pPr>
          </w:p>
          <w:p w:rsidR="00CA3727" w:rsidRDefault="00CA3727" w:rsidP="00424F5A">
            <w:pPr>
              <w:pStyle w:val="ConsPlusNormal0"/>
              <w:jc w:val="center"/>
              <w:rPr>
                <w:rFonts w:ascii="Times New Roman" w:hAnsi="Times New Roman" w:cs="Times New Roman"/>
              </w:rPr>
            </w:pPr>
          </w:p>
          <w:p w:rsidR="00CA3727" w:rsidRDefault="00CA3727" w:rsidP="00424F5A">
            <w:pPr>
              <w:pStyle w:val="ConsPlusNormal0"/>
              <w:jc w:val="center"/>
              <w:rPr>
                <w:rFonts w:ascii="Times New Roman" w:hAnsi="Times New Roman" w:cs="Times New Roman"/>
              </w:rPr>
            </w:pPr>
          </w:p>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360,0</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6.</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Объем муниципального долга на 1 января соответствующего финансового года</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7.</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Объем муниципальных заимствований в соответствующем финансовом году</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8.</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Объем средств, направляемых в соответствующем финансовом году на погашение суммы основного долга по муниципальным заимствованиям</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9.</w:t>
            </w:r>
          </w:p>
        </w:tc>
        <w:tc>
          <w:tcPr>
            <w:tcW w:w="221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Объем расходов на обслуживание муниципального долга</w:t>
            </w: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w:t>
            </w: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bl>
    <w:p w:rsidR="00B33F35" w:rsidRDefault="00B33F35" w:rsidP="00B33F35">
      <w:pPr>
        <w:pStyle w:val="ConsPlusNormal0"/>
        <w:jc w:val="right"/>
        <w:rPr>
          <w:rFonts w:ascii="Times New Roman" w:hAnsi="Times New Roman" w:cs="Times New Roman"/>
        </w:rPr>
      </w:pPr>
    </w:p>
    <w:p w:rsidR="00B33F35" w:rsidRDefault="00B33F35" w:rsidP="00B33F35">
      <w:pPr>
        <w:pStyle w:val="ConsPlusNormal0"/>
        <w:jc w:val="right"/>
        <w:rPr>
          <w:rFonts w:ascii="Times New Roman" w:hAnsi="Times New Roman" w:cs="Times New Roman"/>
          <w:b/>
        </w:rPr>
      </w:pPr>
    </w:p>
    <w:p w:rsidR="00CA3727" w:rsidRPr="00ED3467" w:rsidRDefault="00CA3727" w:rsidP="00B33F35">
      <w:pPr>
        <w:pStyle w:val="ConsPlusNormal0"/>
        <w:jc w:val="right"/>
        <w:rPr>
          <w:rFonts w:ascii="Times New Roman" w:hAnsi="Times New Roman" w:cs="Times New Roman"/>
          <w:b/>
        </w:rPr>
      </w:pPr>
    </w:p>
    <w:p w:rsidR="00B33F35" w:rsidRPr="00E2507D" w:rsidRDefault="00B33F35" w:rsidP="00B33F35">
      <w:pPr>
        <w:pStyle w:val="ConsPlusNormal0"/>
        <w:jc w:val="center"/>
        <w:rPr>
          <w:rFonts w:ascii="Times New Roman" w:hAnsi="Times New Roman" w:cs="Times New Roman"/>
          <w:b/>
          <w:sz w:val="28"/>
          <w:szCs w:val="28"/>
        </w:rPr>
      </w:pPr>
      <w:bookmarkStart w:id="1" w:name="Par250"/>
      <w:bookmarkEnd w:id="1"/>
      <w:r w:rsidRPr="00E2507D">
        <w:rPr>
          <w:rFonts w:ascii="Times New Roman" w:hAnsi="Times New Roman" w:cs="Times New Roman"/>
          <w:b/>
          <w:sz w:val="28"/>
          <w:szCs w:val="28"/>
        </w:rPr>
        <w:t>4. Прогноз основных характеристик консолидированного бюджета</w:t>
      </w:r>
    </w:p>
    <w:p w:rsidR="00B33F35" w:rsidRDefault="00B33F35" w:rsidP="00B33F35">
      <w:pPr>
        <w:pStyle w:val="ConsPlusNormal0"/>
        <w:jc w:val="center"/>
        <w:rPr>
          <w:rFonts w:ascii="Times New Roman" w:hAnsi="Times New Roman" w:cs="Times New Roman"/>
          <w:b/>
          <w:sz w:val="28"/>
          <w:szCs w:val="28"/>
        </w:rPr>
      </w:pPr>
      <w:r w:rsidRPr="00E2507D">
        <w:rPr>
          <w:rFonts w:ascii="Times New Roman" w:hAnsi="Times New Roman" w:cs="Times New Roman"/>
          <w:b/>
          <w:sz w:val="28"/>
          <w:szCs w:val="28"/>
        </w:rPr>
        <w:t xml:space="preserve"> Тейковского муниципального района на 2017 – 2022 годы</w:t>
      </w:r>
    </w:p>
    <w:p w:rsidR="00CA3727" w:rsidRPr="00CA3727" w:rsidRDefault="00CA3727" w:rsidP="00B33F35">
      <w:pPr>
        <w:pStyle w:val="ConsPlusNormal0"/>
        <w:jc w:val="center"/>
        <w:rPr>
          <w:rFonts w:ascii="Times New Roman" w:hAnsi="Times New Roman" w:cs="Times New Roman"/>
          <w:i/>
          <w:sz w:val="28"/>
          <w:szCs w:val="28"/>
        </w:rPr>
      </w:pPr>
      <w:r w:rsidRPr="00CA3727">
        <w:rPr>
          <w:rFonts w:ascii="Times New Roman" w:hAnsi="Times New Roman" w:cs="Times New Roman"/>
          <w:i/>
          <w:sz w:val="28"/>
          <w:szCs w:val="28"/>
        </w:rPr>
        <w:t>(в ред.</w:t>
      </w:r>
      <w:r>
        <w:rPr>
          <w:rFonts w:ascii="Times New Roman" w:hAnsi="Times New Roman" w:cs="Times New Roman"/>
          <w:i/>
          <w:sz w:val="28"/>
          <w:szCs w:val="28"/>
        </w:rPr>
        <w:t xml:space="preserve"> постановления администрации Тейковского муниципального района от 29.12.2018 г. № 572)</w:t>
      </w:r>
      <w:r w:rsidRPr="00CA3727">
        <w:rPr>
          <w:rFonts w:ascii="Times New Roman" w:hAnsi="Times New Roman" w:cs="Times New Roman"/>
          <w:i/>
          <w:sz w:val="28"/>
          <w:szCs w:val="28"/>
        </w:rPr>
        <w:t xml:space="preserve"> </w:t>
      </w:r>
    </w:p>
    <w:p w:rsidR="00CA3727" w:rsidRDefault="00CA3727" w:rsidP="00B33F35">
      <w:pPr>
        <w:pStyle w:val="ConsPlusNormal0"/>
        <w:ind w:right="261"/>
        <w:jc w:val="right"/>
        <w:rPr>
          <w:rFonts w:ascii="Times New Roman" w:hAnsi="Times New Roman" w:cs="Times New Roman"/>
          <w:sz w:val="24"/>
          <w:szCs w:val="24"/>
        </w:rPr>
      </w:pPr>
    </w:p>
    <w:p w:rsidR="00CA3727" w:rsidRDefault="00CA3727" w:rsidP="00B33F35">
      <w:pPr>
        <w:pStyle w:val="ConsPlusNormal0"/>
        <w:ind w:right="261"/>
        <w:jc w:val="right"/>
        <w:rPr>
          <w:rFonts w:ascii="Times New Roman" w:hAnsi="Times New Roman" w:cs="Times New Roman"/>
          <w:sz w:val="24"/>
          <w:szCs w:val="24"/>
        </w:rPr>
      </w:pPr>
    </w:p>
    <w:p w:rsidR="00CA3727" w:rsidRDefault="00CA3727" w:rsidP="00B33F35">
      <w:pPr>
        <w:pStyle w:val="ConsPlusNormal0"/>
        <w:ind w:right="261"/>
        <w:jc w:val="right"/>
        <w:rPr>
          <w:rFonts w:ascii="Times New Roman" w:hAnsi="Times New Roman" w:cs="Times New Roman"/>
          <w:sz w:val="24"/>
          <w:szCs w:val="24"/>
        </w:rPr>
      </w:pPr>
    </w:p>
    <w:p w:rsidR="00B33F35" w:rsidRPr="00FB679A" w:rsidRDefault="00B33F35" w:rsidP="00B33F35">
      <w:pPr>
        <w:pStyle w:val="ConsPlusNormal0"/>
        <w:ind w:right="261"/>
        <w:jc w:val="right"/>
        <w:rPr>
          <w:rFonts w:ascii="Times New Roman" w:hAnsi="Times New Roman" w:cs="Times New Roman"/>
          <w:sz w:val="24"/>
          <w:szCs w:val="24"/>
        </w:rPr>
      </w:pPr>
      <w:r w:rsidRPr="00FB679A">
        <w:rPr>
          <w:rFonts w:ascii="Times New Roman" w:hAnsi="Times New Roman" w:cs="Times New Roman"/>
          <w:sz w:val="24"/>
          <w:szCs w:val="24"/>
        </w:rPr>
        <w:lastRenderedPageBreak/>
        <w:t>(тыс. руб.)</w:t>
      </w:r>
    </w:p>
    <w:tbl>
      <w:tblPr>
        <w:tblW w:w="9463" w:type="dxa"/>
        <w:tblInd w:w="204" w:type="dxa"/>
        <w:tblLayout w:type="fixed"/>
        <w:tblCellMar>
          <w:top w:w="102" w:type="dxa"/>
          <w:left w:w="62" w:type="dxa"/>
          <w:bottom w:w="102" w:type="dxa"/>
          <w:right w:w="62" w:type="dxa"/>
        </w:tblCellMar>
        <w:tblLook w:val="04A0" w:firstRow="1" w:lastRow="0" w:firstColumn="1" w:lastColumn="0" w:noHBand="0" w:noVBand="1"/>
      </w:tblPr>
      <w:tblGrid>
        <w:gridCol w:w="595"/>
        <w:gridCol w:w="2324"/>
        <w:gridCol w:w="1090"/>
        <w:gridCol w:w="1091"/>
        <w:gridCol w:w="1091"/>
        <w:gridCol w:w="1090"/>
        <w:gridCol w:w="1091"/>
        <w:gridCol w:w="1091"/>
      </w:tblGrid>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N п/п</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Наименование показателя</w:t>
            </w:r>
          </w:p>
        </w:tc>
        <w:tc>
          <w:tcPr>
            <w:tcW w:w="1090"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2017 год</w:t>
            </w:r>
          </w:p>
        </w:tc>
        <w:tc>
          <w:tcPr>
            <w:tcW w:w="109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Первый год планового периода</w:t>
            </w:r>
          </w:p>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(2018 год)</w:t>
            </w:r>
          </w:p>
        </w:tc>
        <w:tc>
          <w:tcPr>
            <w:tcW w:w="109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Второй год планового периода</w:t>
            </w:r>
          </w:p>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(2019 год)</w:t>
            </w:r>
          </w:p>
        </w:tc>
        <w:tc>
          <w:tcPr>
            <w:tcW w:w="1090"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2020 год</w:t>
            </w:r>
          </w:p>
        </w:tc>
        <w:tc>
          <w:tcPr>
            <w:tcW w:w="109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2021 год</w:t>
            </w:r>
          </w:p>
        </w:tc>
        <w:tc>
          <w:tcPr>
            <w:tcW w:w="1091"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2022 год</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Доходы консолидированного бюджета - всего</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231055,6</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239012,4</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232328,2</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228798,1</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231237,5</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231798,5</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в том числе:</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1.1.</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налоговые доходы</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55354,6</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56939,7</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60164,6</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60451,1</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64312,9</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65012,4</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1.2.</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неналоговые доходы</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7255,9</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7777,9</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7111,1</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7254,5</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8545,1</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8406,6</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1.3.</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безвозмездные поступления</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168445,1</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174294,8</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165052,5</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161092,5</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158379,5</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158379,5</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Расходы консолидированного бюджета - всего</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244027,0</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239012,4</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Title"/>
              <w:widowControl/>
              <w:jc w:val="center"/>
              <w:rPr>
                <w:b w:val="0"/>
                <w:sz w:val="20"/>
              </w:rPr>
            </w:pPr>
            <w:r>
              <w:rPr>
                <w:b w:val="0"/>
                <w:sz w:val="20"/>
              </w:rPr>
              <w:t>232328,2</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228798,1</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231237,5</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231798,5</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в том числе:</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rPr>
          <w:trHeight w:val="934"/>
        </w:trPr>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2.1.</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на финансовое обеспечение муниципальных программ</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193528,6</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183900</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165714,3</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160994,9</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16981,4</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17207,3</w:t>
            </w:r>
          </w:p>
        </w:tc>
      </w:tr>
      <w:tr w:rsidR="00CA3727" w:rsidRPr="004E09FA" w:rsidTr="00424F5A">
        <w:trPr>
          <w:trHeight w:val="527"/>
        </w:trPr>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2.2.</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на непрограммные направления расходов</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50498,4</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55112,4</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66613,9</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67803,2</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214256,1</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214591,2</w:t>
            </w: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3.</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Дефицит (профицит) консолидированного бюджета</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12971,4</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rPr>
          <w:trHeight w:val="2200"/>
        </w:trPr>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4.</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Отношение дефицита консолидированного бюджета к общему годовому объему доходов консолидированного бюджета без учета объема безвозмездных поступлений (в процентах)</w:t>
            </w:r>
          </w:p>
        </w:tc>
        <w:tc>
          <w:tcPr>
            <w:tcW w:w="1090" w:type="dxa"/>
            <w:tcBorders>
              <w:top w:val="single" w:sz="4" w:space="0" w:color="auto"/>
              <w:left w:val="single" w:sz="4" w:space="0" w:color="auto"/>
              <w:bottom w:val="single" w:sz="4" w:space="0" w:color="auto"/>
              <w:right w:val="single" w:sz="4" w:space="0" w:color="auto"/>
            </w:tcBorders>
          </w:tcPr>
          <w:p w:rsidR="00CA3727" w:rsidRDefault="00CA3727" w:rsidP="00424F5A">
            <w:pPr>
              <w:pStyle w:val="ConsPlusNormal0"/>
              <w:jc w:val="center"/>
              <w:rPr>
                <w:rFonts w:ascii="Times New Roman" w:hAnsi="Times New Roman" w:cs="Times New Roman"/>
              </w:rPr>
            </w:pPr>
            <w:r>
              <w:rPr>
                <w:rFonts w:ascii="Times New Roman" w:hAnsi="Times New Roman" w:cs="Times New Roman"/>
              </w:rPr>
              <w:t>20,7</w:t>
            </w:r>
          </w:p>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5.</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Источники финансирования дефицита консолидированного бюджета - всего</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12971,4</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в том числе:</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5.1. - 5.n.</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Указывается состав источников финансирования дефицита консолидированного бюджета</w:t>
            </w:r>
          </w:p>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 xml:space="preserve">- изменение остатков средств на счетах по учету средств бюджета </w:t>
            </w:r>
          </w:p>
        </w:tc>
        <w:tc>
          <w:tcPr>
            <w:tcW w:w="1090" w:type="dxa"/>
            <w:tcBorders>
              <w:top w:val="single" w:sz="4" w:space="0" w:color="auto"/>
              <w:left w:val="single" w:sz="4" w:space="0" w:color="auto"/>
              <w:bottom w:val="single" w:sz="4" w:space="0" w:color="auto"/>
              <w:right w:val="single" w:sz="4" w:space="0" w:color="auto"/>
            </w:tcBorders>
          </w:tcPr>
          <w:p w:rsidR="00CA3727" w:rsidRDefault="00CA3727" w:rsidP="00424F5A">
            <w:pPr>
              <w:pStyle w:val="ConsPlusNormal0"/>
              <w:jc w:val="center"/>
              <w:rPr>
                <w:rFonts w:ascii="Times New Roman" w:hAnsi="Times New Roman" w:cs="Times New Roman"/>
              </w:rPr>
            </w:pPr>
          </w:p>
          <w:p w:rsidR="00CA3727" w:rsidRDefault="00CA3727" w:rsidP="00424F5A">
            <w:pPr>
              <w:pStyle w:val="ConsPlusNormal0"/>
              <w:jc w:val="center"/>
              <w:rPr>
                <w:rFonts w:ascii="Times New Roman" w:hAnsi="Times New Roman" w:cs="Times New Roman"/>
              </w:rPr>
            </w:pPr>
          </w:p>
          <w:p w:rsidR="00CA3727" w:rsidRDefault="00CA3727" w:rsidP="00424F5A">
            <w:pPr>
              <w:pStyle w:val="ConsPlusNormal0"/>
              <w:jc w:val="center"/>
              <w:rPr>
                <w:rFonts w:ascii="Times New Roman" w:hAnsi="Times New Roman" w:cs="Times New Roman"/>
              </w:rPr>
            </w:pPr>
          </w:p>
          <w:p w:rsidR="00CA3727" w:rsidRDefault="00CA3727" w:rsidP="00424F5A">
            <w:pPr>
              <w:pStyle w:val="ConsPlusNormal0"/>
              <w:jc w:val="center"/>
              <w:rPr>
                <w:rFonts w:ascii="Times New Roman" w:hAnsi="Times New Roman" w:cs="Times New Roman"/>
              </w:rPr>
            </w:pPr>
          </w:p>
          <w:p w:rsidR="00CA3727" w:rsidRDefault="00CA3727" w:rsidP="00424F5A">
            <w:pPr>
              <w:pStyle w:val="ConsPlusNormal0"/>
              <w:jc w:val="center"/>
              <w:rPr>
                <w:rFonts w:ascii="Times New Roman" w:hAnsi="Times New Roman" w:cs="Times New Roman"/>
              </w:rPr>
            </w:pPr>
          </w:p>
          <w:p w:rsidR="00CA3727" w:rsidRDefault="00CA3727" w:rsidP="00424F5A">
            <w:pPr>
              <w:pStyle w:val="ConsPlusNormal0"/>
              <w:jc w:val="center"/>
              <w:rPr>
                <w:rFonts w:ascii="Times New Roman" w:hAnsi="Times New Roman" w:cs="Times New Roman"/>
              </w:rPr>
            </w:pPr>
          </w:p>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12971,4</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lastRenderedPageBreak/>
              <w:t>6.</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Объем муниципального долга на 1 января соответствующего финансового года</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0</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7.</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Объем муниципальных заимствований в соответствующем финансовом году</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0</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8.</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Объем средств, направляемых в соответствующем финансовом году на погашение суммы основного долга по муниципальным заимствованиям</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0</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r w:rsidR="00CA3727" w:rsidRPr="004E09FA" w:rsidTr="00424F5A">
        <w:tc>
          <w:tcPr>
            <w:tcW w:w="595"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center"/>
              <w:rPr>
                <w:rFonts w:ascii="Times New Roman" w:hAnsi="Times New Roman" w:cs="Times New Roman"/>
              </w:rPr>
            </w:pPr>
            <w:r w:rsidRPr="004E09FA">
              <w:rPr>
                <w:rFonts w:ascii="Times New Roman" w:hAnsi="Times New Roman" w:cs="Times New Roman"/>
              </w:rPr>
              <w:t>9.</w:t>
            </w:r>
          </w:p>
        </w:tc>
        <w:tc>
          <w:tcPr>
            <w:tcW w:w="2324" w:type="dxa"/>
            <w:tcBorders>
              <w:top w:val="single" w:sz="4" w:space="0" w:color="auto"/>
              <w:left w:val="single" w:sz="4" w:space="0" w:color="auto"/>
              <w:bottom w:val="single" w:sz="4" w:space="0" w:color="auto"/>
              <w:right w:val="single" w:sz="4" w:space="0" w:color="auto"/>
            </w:tcBorders>
            <w:hideMark/>
          </w:tcPr>
          <w:p w:rsidR="00CA3727" w:rsidRPr="004E09FA" w:rsidRDefault="00CA3727" w:rsidP="00424F5A">
            <w:pPr>
              <w:pStyle w:val="ConsPlusNormal0"/>
              <w:jc w:val="both"/>
              <w:rPr>
                <w:rFonts w:ascii="Times New Roman" w:hAnsi="Times New Roman" w:cs="Times New Roman"/>
              </w:rPr>
            </w:pPr>
            <w:r w:rsidRPr="004E09FA">
              <w:rPr>
                <w:rFonts w:ascii="Times New Roman" w:hAnsi="Times New Roman" w:cs="Times New Roman"/>
              </w:rPr>
              <w:t>Объем расходов на обслуживание муниципального долга</w:t>
            </w: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r>
              <w:rPr>
                <w:rFonts w:ascii="Times New Roman" w:hAnsi="Times New Roman" w:cs="Times New Roman"/>
              </w:rPr>
              <w:t>67,2</w:t>
            </w: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c>
          <w:tcPr>
            <w:tcW w:w="1091" w:type="dxa"/>
            <w:tcBorders>
              <w:top w:val="single" w:sz="4" w:space="0" w:color="auto"/>
              <w:left w:val="single" w:sz="4" w:space="0" w:color="auto"/>
              <w:bottom w:val="single" w:sz="4" w:space="0" w:color="auto"/>
              <w:right w:val="single" w:sz="4" w:space="0" w:color="auto"/>
            </w:tcBorders>
          </w:tcPr>
          <w:p w:rsidR="00CA3727" w:rsidRPr="004E09FA" w:rsidRDefault="00CA3727" w:rsidP="00424F5A">
            <w:pPr>
              <w:pStyle w:val="ConsPlusNormal0"/>
              <w:jc w:val="center"/>
              <w:rPr>
                <w:rFonts w:ascii="Times New Roman" w:hAnsi="Times New Roman" w:cs="Times New Roman"/>
              </w:rPr>
            </w:pPr>
          </w:p>
        </w:tc>
      </w:tr>
    </w:tbl>
    <w:p w:rsidR="00B33F35" w:rsidRPr="00AB7C25" w:rsidRDefault="00B33F35" w:rsidP="00B33F35">
      <w:pPr>
        <w:pStyle w:val="ConsPlusNormal0"/>
        <w:jc w:val="right"/>
        <w:rPr>
          <w:rFonts w:ascii="Times New Roman" w:hAnsi="Times New Roman" w:cs="Times New Roman"/>
        </w:rPr>
      </w:pPr>
    </w:p>
    <w:p w:rsidR="00B33F35" w:rsidRPr="00E2507D" w:rsidRDefault="00B33F35" w:rsidP="00B33F35">
      <w:pPr>
        <w:pStyle w:val="ConsPlusNormal0"/>
        <w:jc w:val="center"/>
        <w:rPr>
          <w:rFonts w:ascii="Times New Roman" w:hAnsi="Times New Roman" w:cs="Times New Roman"/>
          <w:b/>
          <w:sz w:val="28"/>
          <w:szCs w:val="28"/>
        </w:rPr>
      </w:pPr>
      <w:bookmarkStart w:id="2" w:name="Par418"/>
      <w:bookmarkEnd w:id="2"/>
      <w:r w:rsidRPr="00E2507D">
        <w:rPr>
          <w:rFonts w:ascii="Times New Roman" w:hAnsi="Times New Roman" w:cs="Times New Roman"/>
          <w:b/>
          <w:sz w:val="28"/>
          <w:szCs w:val="28"/>
        </w:rPr>
        <w:t>5. Показатели финансового обеспечения муниципальных программ</w:t>
      </w:r>
    </w:p>
    <w:p w:rsidR="00B33F35" w:rsidRDefault="00B33F35" w:rsidP="00B33F35">
      <w:pPr>
        <w:pStyle w:val="ConsPlusNormal0"/>
        <w:jc w:val="center"/>
        <w:rPr>
          <w:rFonts w:ascii="Times New Roman" w:hAnsi="Times New Roman" w:cs="Times New Roman"/>
          <w:b/>
          <w:sz w:val="28"/>
          <w:szCs w:val="28"/>
        </w:rPr>
      </w:pPr>
      <w:r w:rsidRPr="00E2507D">
        <w:rPr>
          <w:rFonts w:ascii="Times New Roman" w:hAnsi="Times New Roman" w:cs="Times New Roman"/>
          <w:b/>
          <w:sz w:val="28"/>
          <w:szCs w:val="28"/>
        </w:rPr>
        <w:t xml:space="preserve"> Тейковского муниципального района на 2017 – 2022 годы</w:t>
      </w:r>
    </w:p>
    <w:p w:rsidR="00B33F35" w:rsidRDefault="00B33F35" w:rsidP="00B33F35">
      <w:pPr>
        <w:pStyle w:val="ConsPlusNormal0"/>
        <w:jc w:val="center"/>
        <w:rPr>
          <w:rFonts w:ascii="Times New Roman" w:hAnsi="Times New Roman" w:cs="Times New Roman"/>
          <w:b/>
          <w:sz w:val="28"/>
          <w:szCs w:val="28"/>
        </w:rPr>
      </w:pP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 xml:space="preserve">Интеграция стратегического и бюджетного планирования в </w:t>
      </w:r>
      <w:r>
        <w:rPr>
          <w:sz w:val="28"/>
          <w:szCs w:val="28"/>
        </w:rPr>
        <w:t>Тейковском муниципальном районе</w:t>
      </w:r>
      <w:r w:rsidRPr="00970808">
        <w:rPr>
          <w:sz w:val="28"/>
          <w:szCs w:val="28"/>
        </w:rPr>
        <w:t xml:space="preserve"> осуществляется в рамках муниципальных программ </w:t>
      </w:r>
      <w:r>
        <w:rPr>
          <w:sz w:val="28"/>
          <w:szCs w:val="28"/>
        </w:rPr>
        <w:t>Тейковского муниципального района</w:t>
      </w:r>
      <w:r w:rsidRPr="00970808">
        <w:rPr>
          <w:sz w:val="28"/>
          <w:szCs w:val="28"/>
        </w:rPr>
        <w:t>,</w:t>
      </w:r>
      <w:r>
        <w:rPr>
          <w:sz w:val="28"/>
          <w:szCs w:val="28"/>
        </w:rPr>
        <w:t xml:space="preserve"> </w:t>
      </w:r>
      <w:r w:rsidRPr="00970808">
        <w:rPr>
          <w:sz w:val="28"/>
          <w:szCs w:val="28"/>
        </w:rPr>
        <w:t xml:space="preserve">объединяющих регулятивные (нормативно-правовые) инструменты, контрольные функции, финансовые и нефинансовые активы, бюджетные ассигнования бюджета </w:t>
      </w:r>
      <w:r>
        <w:rPr>
          <w:sz w:val="28"/>
          <w:szCs w:val="28"/>
        </w:rPr>
        <w:t>Тейковского муниципального района</w:t>
      </w:r>
      <w:r w:rsidRPr="00970808">
        <w:rPr>
          <w:sz w:val="28"/>
          <w:szCs w:val="28"/>
        </w:rPr>
        <w:t xml:space="preserve"> для достижения целей муниципальной политики в соответствующих сферах (отраслях), включая финансовое обеспечение муниципальных заданий на оказание (выполнение) муниципальных услуг (работ).</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 xml:space="preserve">Постановлением администрации </w:t>
      </w:r>
      <w:r>
        <w:rPr>
          <w:sz w:val="28"/>
          <w:szCs w:val="28"/>
        </w:rPr>
        <w:t>Тейковского муниципального района</w:t>
      </w:r>
      <w:r w:rsidRPr="00970808">
        <w:rPr>
          <w:sz w:val="28"/>
          <w:szCs w:val="28"/>
        </w:rPr>
        <w:t xml:space="preserve"> от </w:t>
      </w:r>
      <w:r>
        <w:rPr>
          <w:sz w:val="28"/>
          <w:szCs w:val="28"/>
        </w:rPr>
        <w:t>2</w:t>
      </w:r>
      <w:r w:rsidRPr="00970808">
        <w:rPr>
          <w:sz w:val="28"/>
          <w:szCs w:val="28"/>
        </w:rPr>
        <w:t xml:space="preserve">5 </w:t>
      </w:r>
      <w:r>
        <w:rPr>
          <w:sz w:val="28"/>
          <w:szCs w:val="28"/>
        </w:rPr>
        <w:t>сент</w:t>
      </w:r>
      <w:r w:rsidRPr="00970808">
        <w:rPr>
          <w:sz w:val="28"/>
          <w:szCs w:val="28"/>
        </w:rPr>
        <w:t>ября 2013 года</w:t>
      </w:r>
      <w:r>
        <w:rPr>
          <w:sz w:val="28"/>
          <w:szCs w:val="28"/>
        </w:rPr>
        <w:t xml:space="preserve"> </w:t>
      </w:r>
      <w:r w:rsidRPr="00970808">
        <w:rPr>
          <w:sz w:val="28"/>
          <w:szCs w:val="28"/>
        </w:rPr>
        <w:t xml:space="preserve">№ </w:t>
      </w:r>
      <w:r>
        <w:rPr>
          <w:sz w:val="28"/>
          <w:szCs w:val="28"/>
        </w:rPr>
        <w:t>469-р</w:t>
      </w:r>
      <w:r w:rsidRPr="00970808">
        <w:rPr>
          <w:sz w:val="28"/>
          <w:szCs w:val="28"/>
        </w:rPr>
        <w:t xml:space="preserve"> </w:t>
      </w:r>
      <w:r>
        <w:rPr>
          <w:sz w:val="28"/>
          <w:szCs w:val="28"/>
        </w:rPr>
        <w:t xml:space="preserve">(в действующей редакции) </w:t>
      </w:r>
      <w:r w:rsidRPr="00970808">
        <w:rPr>
          <w:sz w:val="28"/>
          <w:szCs w:val="28"/>
        </w:rPr>
        <w:t xml:space="preserve">утверждён перечень муниципальных программ </w:t>
      </w:r>
      <w:r>
        <w:rPr>
          <w:sz w:val="28"/>
          <w:szCs w:val="28"/>
        </w:rPr>
        <w:t>Тейковского муниципального района</w:t>
      </w:r>
      <w:r w:rsidRPr="00970808">
        <w:rPr>
          <w:sz w:val="28"/>
          <w:szCs w:val="28"/>
        </w:rPr>
        <w:t xml:space="preserve">, включающий </w:t>
      </w:r>
      <w:r>
        <w:rPr>
          <w:sz w:val="28"/>
          <w:szCs w:val="28"/>
        </w:rPr>
        <w:t>2</w:t>
      </w:r>
      <w:r w:rsidRPr="00970808">
        <w:rPr>
          <w:sz w:val="28"/>
          <w:szCs w:val="28"/>
        </w:rPr>
        <w:t>2 муниципальны</w:t>
      </w:r>
      <w:r>
        <w:rPr>
          <w:sz w:val="28"/>
          <w:szCs w:val="28"/>
        </w:rPr>
        <w:t>е</w:t>
      </w:r>
      <w:r w:rsidRPr="00970808">
        <w:rPr>
          <w:sz w:val="28"/>
          <w:szCs w:val="28"/>
        </w:rPr>
        <w:t xml:space="preserve"> программ</w:t>
      </w:r>
      <w:r>
        <w:rPr>
          <w:sz w:val="28"/>
          <w:szCs w:val="28"/>
        </w:rPr>
        <w:t>ы</w:t>
      </w:r>
      <w:r w:rsidRPr="00970808">
        <w:rPr>
          <w:sz w:val="28"/>
          <w:szCs w:val="28"/>
        </w:rPr>
        <w:t xml:space="preserve"> </w:t>
      </w:r>
      <w:r>
        <w:rPr>
          <w:sz w:val="28"/>
          <w:szCs w:val="28"/>
        </w:rPr>
        <w:t>Тейковского муниципального района.</w:t>
      </w:r>
      <w:r w:rsidRPr="00970808">
        <w:rPr>
          <w:sz w:val="28"/>
          <w:szCs w:val="28"/>
        </w:rPr>
        <w:t xml:space="preserve"> Указанный перечень муниципальных программ </w:t>
      </w:r>
      <w:r>
        <w:rPr>
          <w:sz w:val="28"/>
          <w:szCs w:val="28"/>
        </w:rPr>
        <w:t>Тейковского муниципального района</w:t>
      </w:r>
      <w:r w:rsidRPr="00970808">
        <w:rPr>
          <w:sz w:val="28"/>
          <w:szCs w:val="28"/>
        </w:rPr>
        <w:t xml:space="preserve"> будет корректироваться с учетом изменения стратегии развития </w:t>
      </w:r>
      <w:r>
        <w:rPr>
          <w:sz w:val="28"/>
          <w:szCs w:val="28"/>
        </w:rPr>
        <w:t>Тейковского муниципального района</w:t>
      </w:r>
      <w:r w:rsidRPr="00970808">
        <w:rPr>
          <w:sz w:val="28"/>
          <w:szCs w:val="28"/>
        </w:rPr>
        <w:t xml:space="preserve">. </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Бюджетным прогнозом до 202</w:t>
      </w:r>
      <w:r>
        <w:rPr>
          <w:sz w:val="28"/>
          <w:szCs w:val="28"/>
        </w:rPr>
        <w:t>2</w:t>
      </w:r>
      <w:r w:rsidRPr="00970808">
        <w:rPr>
          <w:sz w:val="28"/>
          <w:szCs w:val="28"/>
        </w:rPr>
        <w:t xml:space="preserve"> года устанавливаются предельные объемы расходов бюджета </w:t>
      </w:r>
      <w:r>
        <w:rPr>
          <w:sz w:val="28"/>
          <w:szCs w:val="28"/>
        </w:rPr>
        <w:t>Тейковского муниципального района</w:t>
      </w:r>
      <w:r w:rsidRPr="00970808">
        <w:rPr>
          <w:sz w:val="28"/>
          <w:szCs w:val="28"/>
        </w:rPr>
        <w:t xml:space="preserve"> на реализацию каждой из муниципальных программ </w:t>
      </w:r>
      <w:r>
        <w:rPr>
          <w:sz w:val="28"/>
          <w:szCs w:val="28"/>
        </w:rPr>
        <w:t>Тейковского муниципального района</w:t>
      </w:r>
      <w:r w:rsidRPr="00970808">
        <w:rPr>
          <w:sz w:val="28"/>
          <w:szCs w:val="28"/>
        </w:rPr>
        <w:t xml:space="preserve"> </w:t>
      </w:r>
      <w:r>
        <w:rPr>
          <w:sz w:val="28"/>
          <w:szCs w:val="28"/>
        </w:rPr>
        <w:t>до 2022</w:t>
      </w:r>
      <w:r w:rsidRPr="00970808">
        <w:rPr>
          <w:sz w:val="28"/>
          <w:szCs w:val="28"/>
        </w:rPr>
        <w:t xml:space="preserve"> года.</w:t>
      </w:r>
      <w:r>
        <w:rPr>
          <w:sz w:val="28"/>
          <w:szCs w:val="28"/>
        </w:rPr>
        <w:t xml:space="preserve"> </w:t>
      </w:r>
      <w:r w:rsidRPr="00970808">
        <w:rPr>
          <w:sz w:val="28"/>
          <w:szCs w:val="28"/>
        </w:rPr>
        <w:t xml:space="preserve">Это позволит органам местного самоуправления </w:t>
      </w:r>
      <w:r>
        <w:rPr>
          <w:sz w:val="28"/>
          <w:szCs w:val="28"/>
        </w:rPr>
        <w:t>Тейковского муниципального района</w:t>
      </w:r>
      <w:r w:rsidRPr="00970808">
        <w:rPr>
          <w:sz w:val="28"/>
          <w:szCs w:val="28"/>
        </w:rPr>
        <w:t xml:space="preserve"> - ответственным исполнителям муниципальных программ </w:t>
      </w:r>
      <w:r>
        <w:rPr>
          <w:sz w:val="28"/>
          <w:szCs w:val="28"/>
        </w:rPr>
        <w:t>Тейковского муниципального района</w:t>
      </w:r>
      <w:r w:rsidRPr="00970808">
        <w:rPr>
          <w:sz w:val="28"/>
          <w:szCs w:val="28"/>
        </w:rPr>
        <w:t xml:space="preserve"> определить цели и ожидаемые результаты муниципальных программ, индикаторы их достижения, обеспечивающие реализацию долгосрочных приоритетов социально- экономического развития </w:t>
      </w:r>
      <w:r>
        <w:rPr>
          <w:sz w:val="28"/>
          <w:szCs w:val="28"/>
        </w:rPr>
        <w:t>Тейковского муниципального района</w:t>
      </w:r>
      <w:r w:rsidRPr="00970808">
        <w:rPr>
          <w:sz w:val="28"/>
          <w:szCs w:val="28"/>
        </w:rPr>
        <w:t>, сформировать систему мероприятий, установить сроки и содержание этапов их реализации.</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lastRenderedPageBreak/>
        <w:t xml:space="preserve">Необходимо отметить, что сами предельные объемы расходов, вне зависимости от статуса утвердившего их документа, не предопределяют объем и структуру расходных обязательств </w:t>
      </w:r>
      <w:r>
        <w:rPr>
          <w:sz w:val="28"/>
          <w:szCs w:val="28"/>
        </w:rPr>
        <w:t>Тейковского муниципального района</w:t>
      </w:r>
      <w:r w:rsidRPr="00970808">
        <w:rPr>
          <w:sz w:val="28"/>
          <w:szCs w:val="28"/>
        </w:rPr>
        <w:t xml:space="preserve">, подлежащих финансированию из  бюджета </w:t>
      </w:r>
      <w:r>
        <w:rPr>
          <w:sz w:val="28"/>
          <w:szCs w:val="28"/>
        </w:rPr>
        <w:t>Тейковского муниципального района</w:t>
      </w:r>
      <w:r w:rsidRPr="00970808">
        <w:rPr>
          <w:sz w:val="28"/>
          <w:szCs w:val="28"/>
        </w:rPr>
        <w:t xml:space="preserve">. Это индикативная оценка объема расходов, который, в случае подтверждения долгосрочного экономического и бюджетного прогноза, может быть включен в состав ассигнований бюджета </w:t>
      </w:r>
      <w:r>
        <w:rPr>
          <w:sz w:val="28"/>
          <w:szCs w:val="28"/>
        </w:rPr>
        <w:t>Тейковского муниципального района</w:t>
      </w:r>
      <w:r w:rsidRPr="00970808">
        <w:rPr>
          <w:sz w:val="28"/>
          <w:szCs w:val="28"/>
        </w:rPr>
        <w:t xml:space="preserve"> по соответствующей муниципальной программе </w:t>
      </w:r>
      <w:r>
        <w:rPr>
          <w:sz w:val="28"/>
          <w:szCs w:val="28"/>
        </w:rPr>
        <w:t>Тейковского муниципального района</w:t>
      </w:r>
      <w:r w:rsidRPr="00970808">
        <w:rPr>
          <w:sz w:val="28"/>
          <w:szCs w:val="28"/>
        </w:rPr>
        <w:t xml:space="preserve"> на очередной финансовый год и на плановый период.</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 xml:space="preserve">В то же время, не смотря на индикативный характер, данные показатели позволяют определить среднесрочные приоритеты в распределении бюджетных расходов, сформировать полноценные, финансово обеспеченные муниципальные программы </w:t>
      </w:r>
      <w:r>
        <w:rPr>
          <w:sz w:val="28"/>
          <w:szCs w:val="28"/>
        </w:rPr>
        <w:t>Тейковского муниципального района</w:t>
      </w:r>
      <w:r w:rsidRPr="00970808">
        <w:rPr>
          <w:sz w:val="28"/>
          <w:szCs w:val="28"/>
        </w:rPr>
        <w:t>, создать стимулы, прежде всего для их ответственных исполнителей,</w:t>
      </w:r>
      <w:r>
        <w:rPr>
          <w:sz w:val="28"/>
          <w:szCs w:val="28"/>
        </w:rPr>
        <w:t xml:space="preserve"> </w:t>
      </w:r>
      <w:r w:rsidRPr="00970808">
        <w:rPr>
          <w:sz w:val="28"/>
          <w:szCs w:val="28"/>
        </w:rPr>
        <w:t xml:space="preserve">для выявления и использования резервов в </w:t>
      </w:r>
      <w:proofErr w:type="gramStart"/>
      <w:r w:rsidRPr="00970808">
        <w:rPr>
          <w:sz w:val="28"/>
          <w:szCs w:val="28"/>
        </w:rPr>
        <w:t>целях  перераспределения</w:t>
      </w:r>
      <w:proofErr w:type="gramEnd"/>
      <w:r w:rsidRPr="00970808">
        <w:rPr>
          <w:sz w:val="28"/>
          <w:szCs w:val="28"/>
        </w:rPr>
        <w:t xml:space="preserve"> расходов и, следовательно, повышения эффективности использования бюджетных средств.</w:t>
      </w:r>
    </w:p>
    <w:p w:rsidR="00B33F35" w:rsidRPr="00970808" w:rsidRDefault="00B33F35" w:rsidP="00B33F35">
      <w:pPr>
        <w:pStyle w:val="4"/>
        <w:shd w:val="clear" w:color="auto" w:fill="auto"/>
        <w:spacing w:after="0" w:line="240" w:lineRule="auto"/>
        <w:ind w:firstLine="709"/>
        <w:jc w:val="both"/>
        <w:rPr>
          <w:sz w:val="28"/>
          <w:szCs w:val="28"/>
        </w:rPr>
      </w:pPr>
      <w:r w:rsidRPr="00970808">
        <w:rPr>
          <w:sz w:val="28"/>
          <w:szCs w:val="28"/>
        </w:rPr>
        <w:t xml:space="preserve">В случае разработки и принятия новых муниципальных программ </w:t>
      </w:r>
      <w:r>
        <w:rPr>
          <w:sz w:val="28"/>
          <w:szCs w:val="28"/>
        </w:rPr>
        <w:t>Тейковского муниципального района</w:t>
      </w:r>
      <w:r w:rsidRPr="00970808">
        <w:rPr>
          <w:sz w:val="28"/>
          <w:szCs w:val="28"/>
        </w:rPr>
        <w:t xml:space="preserve"> бюджетные ассигнования на их финансовое обеспечение могут быть установлены только за счет перераспределения бюджетных</w:t>
      </w:r>
      <w:r>
        <w:rPr>
          <w:sz w:val="28"/>
          <w:szCs w:val="28"/>
        </w:rPr>
        <w:t xml:space="preserve"> </w:t>
      </w:r>
      <w:r w:rsidRPr="00970808">
        <w:rPr>
          <w:sz w:val="28"/>
          <w:szCs w:val="28"/>
        </w:rPr>
        <w:t xml:space="preserve">ассигнований, предусмотренных по другим муниципальным  программам </w:t>
      </w:r>
      <w:r>
        <w:rPr>
          <w:sz w:val="28"/>
          <w:szCs w:val="28"/>
        </w:rPr>
        <w:t>Тейковского муниципального района или непрограммных расходов</w:t>
      </w:r>
      <w:r w:rsidRPr="00970808">
        <w:rPr>
          <w:sz w:val="28"/>
          <w:szCs w:val="28"/>
        </w:rPr>
        <w:t>.</w:t>
      </w:r>
    </w:p>
    <w:p w:rsidR="00B33F35" w:rsidRPr="00CA3727" w:rsidRDefault="00B33F35" w:rsidP="00CA3727">
      <w:pPr>
        <w:pStyle w:val="ConsPlusNormal0"/>
        <w:ind w:firstLine="709"/>
        <w:jc w:val="both"/>
        <w:rPr>
          <w:rFonts w:ascii="Times New Roman" w:hAnsi="Times New Roman" w:cs="Times New Roman"/>
          <w:sz w:val="28"/>
          <w:szCs w:val="28"/>
        </w:rPr>
      </w:pPr>
      <w:r w:rsidRPr="00CA3727">
        <w:rPr>
          <w:rFonts w:ascii="Times New Roman" w:hAnsi="Times New Roman" w:cs="Times New Roman"/>
          <w:sz w:val="28"/>
          <w:szCs w:val="28"/>
        </w:rPr>
        <w:t>Показатели финансового обеспечения муниципальных программ Тейковского муниципального района до 2022 года представлены в нижеследующей таблице</w:t>
      </w:r>
      <w:r w:rsidR="00CA3727" w:rsidRPr="00CA3727">
        <w:rPr>
          <w:rFonts w:ascii="Times New Roman" w:hAnsi="Times New Roman" w:cs="Times New Roman"/>
          <w:sz w:val="28"/>
          <w:szCs w:val="28"/>
        </w:rPr>
        <w:t xml:space="preserve"> </w:t>
      </w:r>
      <w:r w:rsidR="00CA3727" w:rsidRPr="00CA3727">
        <w:rPr>
          <w:rFonts w:ascii="Times New Roman" w:hAnsi="Times New Roman" w:cs="Times New Roman"/>
          <w:i/>
          <w:sz w:val="28"/>
          <w:szCs w:val="28"/>
        </w:rPr>
        <w:t>(в ред. постановления администрации Тейковского муниципальног</w:t>
      </w:r>
      <w:r w:rsidR="00CA3727">
        <w:rPr>
          <w:rFonts w:ascii="Times New Roman" w:hAnsi="Times New Roman" w:cs="Times New Roman"/>
          <w:i/>
          <w:sz w:val="28"/>
          <w:szCs w:val="28"/>
        </w:rPr>
        <w:t>о района от 29.12.2018 г. № 572)</w:t>
      </w:r>
      <w:r w:rsidRPr="00CA3727">
        <w:rPr>
          <w:rFonts w:ascii="Times New Roman" w:hAnsi="Times New Roman" w:cs="Times New Roman"/>
          <w:sz w:val="28"/>
          <w:szCs w:val="28"/>
        </w:rPr>
        <w:t>:</w:t>
      </w:r>
    </w:p>
    <w:p w:rsidR="00B33F35" w:rsidRPr="00E2507D" w:rsidRDefault="00B33F35" w:rsidP="00B33F35">
      <w:pPr>
        <w:pStyle w:val="ConsPlusNormal0"/>
        <w:jc w:val="center"/>
        <w:rPr>
          <w:rFonts w:ascii="Times New Roman" w:hAnsi="Times New Roman" w:cs="Times New Roman"/>
          <w:b/>
          <w:sz w:val="28"/>
          <w:szCs w:val="28"/>
        </w:rPr>
      </w:pPr>
    </w:p>
    <w:p w:rsidR="00B33F35" w:rsidRPr="00FB679A" w:rsidRDefault="00B33F35" w:rsidP="00B33F35">
      <w:pPr>
        <w:pStyle w:val="ConsPlusNormal0"/>
        <w:ind w:right="120"/>
        <w:jc w:val="right"/>
        <w:rPr>
          <w:rFonts w:ascii="Times New Roman" w:hAnsi="Times New Roman" w:cs="Times New Roman"/>
          <w:sz w:val="24"/>
          <w:szCs w:val="24"/>
        </w:rPr>
      </w:pPr>
      <w:r w:rsidRPr="00FB679A">
        <w:rPr>
          <w:rFonts w:ascii="Times New Roman" w:hAnsi="Times New Roman" w:cs="Times New Roman"/>
          <w:sz w:val="24"/>
          <w:szCs w:val="24"/>
        </w:rPr>
        <w:t>(тыс. руб.)</w:t>
      </w:r>
    </w:p>
    <w:tbl>
      <w:tblPr>
        <w:tblW w:w="9598"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2977"/>
        <w:gridCol w:w="992"/>
        <w:gridCol w:w="1026"/>
        <w:gridCol w:w="1009"/>
        <w:gridCol w:w="1009"/>
        <w:gridCol w:w="1009"/>
        <w:gridCol w:w="1009"/>
      </w:tblGrid>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N п/п</w:t>
            </w: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2017 год</w:t>
            </w:r>
          </w:p>
        </w:tc>
        <w:tc>
          <w:tcPr>
            <w:tcW w:w="1026"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Первый год планового периода</w:t>
            </w:r>
          </w:p>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(2018 год)</w:t>
            </w:r>
          </w:p>
        </w:tc>
        <w:tc>
          <w:tcPr>
            <w:tcW w:w="1009"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Второй год планового периода</w:t>
            </w:r>
          </w:p>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(2019 год)</w:t>
            </w:r>
          </w:p>
        </w:tc>
        <w:tc>
          <w:tcPr>
            <w:tcW w:w="1009"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2020 год</w:t>
            </w:r>
          </w:p>
        </w:tc>
        <w:tc>
          <w:tcPr>
            <w:tcW w:w="1009"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2021 год</w:t>
            </w:r>
          </w:p>
        </w:tc>
        <w:tc>
          <w:tcPr>
            <w:tcW w:w="1009"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2022 год</w:t>
            </w:r>
          </w:p>
        </w:tc>
      </w:tr>
      <w:tr w:rsidR="00855736" w:rsidRPr="000C629F" w:rsidTr="00424F5A">
        <w:tc>
          <w:tcPr>
            <w:tcW w:w="567" w:type="dxa"/>
            <w:tcBorders>
              <w:top w:val="single" w:sz="4" w:space="0" w:color="auto"/>
              <w:left w:val="single" w:sz="4" w:space="0" w:color="auto"/>
              <w:bottom w:val="single" w:sz="4" w:space="0" w:color="auto"/>
              <w:right w:val="single" w:sz="4" w:space="0" w:color="auto"/>
            </w:tcBorders>
            <w:hideMark/>
          </w:tcPr>
          <w:p w:rsidR="00855736" w:rsidRPr="000C629F" w:rsidRDefault="00855736" w:rsidP="00424F5A">
            <w:pPr>
              <w:pStyle w:val="ConsPlusNormal0"/>
              <w:jc w:val="center"/>
              <w:rPr>
                <w:rFonts w:ascii="Times New Roman" w:hAnsi="Times New Roman" w:cs="Times New Roman"/>
              </w:rPr>
            </w:pPr>
            <w:r w:rsidRPr="000C629F">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rsidR="00855736" w:rsidRPr="000C629F" w:rsidRDefault="00855736" w:rsidP="00424F5A">
            <w:pPr>
              <w:pStyle w:val="ConsPlusNormal0"/>
              <w:jc w:val="both"/>
              <w:rPr>
                <w:rFonts w:ascii="Times New Roman" w:hAnsi="Times New Roman" w:cs="Times New Roman"/>
              </w:rPr>
            </w:pPr>
            <w:r w:rsidRPr="000C629F">
              <w:rPr>
                <w:rFonts w:ascii="Times New Roman" w:hAnsi="Times New Roman" w:cs="Times New Roman"/>
              </w:rPr>
              <w:t>Расходы бюджета - всего</w:t>
            </w:r>
          </w:p>
        </w:tc>
        <w:tc>
          <w:tcPr>
            <w:tcW w:w="992" w:type="dxa"/>
            <w:tcBorders>
              <w:top w:val="single" w:sz="4" w:space="0" w:color="auto"/>
              <w:left w:val="single" w:sz="4" w:space="0" w:color="auto"/>
              <w:bottom w:val="single" w:sz="4" w:space="0" w:color="auto"/>
              <w:right w:val="single" w:sz="4" w:space="0" w:color="auto"/>
            </w:tcBorders>
          </w:tcPr>
          <w:p w:rsidR="00855736" w:rsidRPr="000C629F" w:rsidRDefault="00855736" w:rsidP="00424F5A">
            <w:pPr>
              <w:pStyle w:val="ConsPlusNormal0"/>
              <w:jc w:val="center"/>
              <w:rPr>
                <w:rFonts w:ascii="Times New Roman" w:hAnsi="Times New Roman" w:cs="Times New Roman"/>
              </w:rPr>
            </w:pPr>
            <w:r>
              <w:rPr>
                <w:rFonts w:ascii="Times New Roman" w:hAnsi="Times New Roman" w:cs="Times New Roman"/>
              </w:rPr>
              <w:t>181802,6</w:t>
            </w:r>
          </w:p>
        </w:tc>
        <w:tc>
          <w:tcPr>
            <w:tcW w:w="1026" w:type="dxa"/>
            <w:tcBorders>
              <w:top w:val="single" w:sz="4" w:space="0" w:color="auto"/>
              <w:left w:val="single" w:sz="4" w:space="0" w:color="auto"/>
              <w:bottom w:val="single" w:sz="4" w:space="0" w:color="auto"/>
              <w:right w:val="single" w:sz="4" w:space="0" w:color="auto"/>
            </w:tcBorders>
          </w:tcPr>
          <w:p w:rsidR="00855736" w:rsidRPr="000C629F" w:rsidRDefault="00855736" w:rsidP="00424F5A">
            <w:pPr>
              <w:pStyle w:val="ConsPlusNormal0"/>
              <w:jc w:val="center"/>
              <w:rPr>
                <w:rFonts w:ascii="Times New Roman" w:hAnsi="Times New Roman" w:cs="Times New Roman"/>
              </w:rPr>
            </w:pPr>
            <w:r>
              <w:rPr>
                <w:rFonts w:ascii="Times New Roman" w:hAnsi="Times New Roman" w:cs="Times New Roman"/>
              </w:rPr>
              <w:t>187314,8</w:t>
            </w:r>
          </w:p>
        </w:tc>
        <w:tc>
          <w:tcPr>
            <w:tcW w:w="1009" w:type="dxa"/>
            <w:tcBorders>
              <w:top w:val="single" w:sz="4" w:space="0" w:color="auto"/>
              <w:left w:val="single" w:sz="4" w:space="0" w:color="auto"/>
              <w:bottom w:val="single" w:sz="4" w:space="0" w:color="auto"/>
              <w:right w:val="single" w:sz="4" w:space="0" w:color="auto"/>
            </w:tcBorders>
          </w:tcPr>
          <w:p w:rsidR="00855736" w:rsidRPr="000C629F" w:rsidRDefault="00855736" w:rsidP="00424F5A">
            <w:pPr>
              <w:pStyle w:val="ConsPlusNormal0"/>
              <w:jc w:val="center"/>
              <w:rPr>
                <w:rFonts w:ascii="Times New Roman" w:hAnsi="Times New Roman" w:cs="Times New Roman"/>
              </w:rPr>
            </w:pPr>
            <w:r>
              <w:rPr>
                <w:rFonts w:ascii="Times New Roman" w:hAnsi="Times New Roman" w:cs="Times New Roman"/>
              </w:rPr>
              <w:t>180028</w:t>
            </w:r>
          </w:p>
        </w:tc>
        <w:tc>
          <w:tcPr>
            <w:tcW w:w="1009" w:type="dxa"/>
            <w:tcBorders>
              <w:top w:val="single" w:sz="4" w:space="0" w:color="auto"/>
              <w:left w:val="single" w:sz="4" w:space="0" w:color="auto"/>
              <w:bottom w:val="single" w:sz="4" w:space="0" w:color="auto"/>
              <w:right w:val="single" w:sz="4" w:space="0" w:color="auto"/>
            </w:tcBorders>
          </w:tcPr>
          <w:p w:rsidR="00855736" w:rsidRPr="000C629F" w:rsidRDefault="00855736" w:rsidP="00424F5A">
            <w:pPr>
              <w:pStyle w:val="ConsPlusNormal0"/>
              <w:jc w:val="center"/>
              <w:rPr>
                <w:rFonts w:ascii="Times New Roman" w:hAnsi="Times New Roman" w:cs="Times New Roman"/>
              </w:rPr>
            </w:pPr>
            <w:r>
              <w:rPr>
                <w:rFonts w:ascii="Times New Roman" w:hAnsi="Times New Roman" w:cs="Times New Roman"/>
              </w:rPr>
              <w:t>179671,9</w:t>
            </w:r>
          </w:p>
        </w:tc>
        <w:tc>
          <w:tcPr>
            <w:tcW w:w="1009" w:type="dxa"/>
            <w:tcBorders>
              <w:top w:val="single" w:sz="4" w:space="0" w:color="auto"/>
              <w:left w:val="single" w:sz="4" w:space="0" w:color="auto"/>
              <w:bottom w:val="single" w:sz="4" w:space="0" w:color="auto"/>
              <w:right w:val="single" w:sz="4" w:space="0" w:color="auto"/>
            </w:tcBorders>
          </w:tcPr>
          <w:p w:rsidR="00855736" w:rsidRPr="000C629F" w:rsidRDefault="00855736" w:rsidP="00424F5A">
            <w:pPr>
              <w:pStyle w:val="ConsPlusNormal0"/>
              <w:jc w:val="center"/>
              <w:rPr>
                <w:rFonts w:ascii="Times New Roman" w:hAnsi="Times New Roman" w:cs="Times New Roman"/>
              </w:rPr>
            </w:pPr>
            <w:r>
              <w:rPr>
                <w:rFonts w:ascii="Times New Roman" w:hAnsi="Times New Roman" w:cs="Times New Roman"/>
              </w:rPr>
              <w:t>181974,2</w:t>
            </w:r>
          </w:p>
        </w:tc>
        <w:tc>
          <w:tcPr>
            <w:tcW w:w="1009" w:type="dxa"/>
            <w:tcBorders>
              <w:top w:val="single" w:sz="4" w:space="0" w:color="auto"/>
              <w:left w:val="single" w:sz="4" w:space="0" w:color="auto"/>
              <w:bottom w:val="single" w:sz="4" w:space="0" w:color="auto"/>
              <w:right w:val="single" w:sz="4" w:space="0" w:color="auto"/>
            </w:tcBorders>
          </w:tcPr>
          <w:p w:rsidR="00855736" w:rsidRPr="000C629F" w:rsidRDefault="00855736" w:rsidP="00424F5A">
            <w:pPr>
              <w:pStyle w:val="ConsPlusNormal0"/>
              <w:jc w:val="center"/>
              <w:rPr>
                <w:rFonts w:ascii="Times New Roman" w:hAnsi="Times New Roman" w:cs="Times New Roman"/>
              </w:rPr>
            </w:pPr>
            <w:r>
              <w:rPr>
                <w:rFonts w:ascii="Times New Roman" w:hAnsi="Times New Roman" w:cs="Times New Roman"/>
              </w:rPr>
              <w:t>182266,5</w:t>
            </w: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both"/>
              <w:rPr>
                <w:rFonts w:ascii="Times New Roman" w:hAnsi="Times New Roman" w:cs="Times New Roman"/>
              </w:rPr>
            </w:pPr>
            <w:r w:rsidRPr="00F11653">
              <w:rPr>
                <w:rFonts w:ascii="Times New Roman" w:hAnsi="Times New Roman" w:cs="Times New Roman"/>
              </w:rPr>
              <w:t>в том числе:</w:t>
            </w:r>
          </w:p>
        </w:tc>
        <w:tc>
          <w:tcPr>
            <w:tcW w:w="992"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26"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1.1.</w:t>
            </w: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both"/>
              <w:rPr>
                <w:rFonts w:ascii="Times New Roman" w:hAnsi="Times New Roman" w:cs="Times New Roman"/>
              </w:rPr>
            </w:pPr>
            <w:r w:rsidRPr="00F11653">
              <w:rPr>
                <w:rFonts w:ascii="Times New Roman" w:hAnsi="Times New Roman" w:cs="Times New Roman"/>
              </w:rPr>
              <w:t>Расходы на реализацию муниципальных программ Тейковского муниципального района - всего</w:t>
            </w:r>
          </w:p>
        </w:tc>
        <w:tc>
          <w:tcPr>
            <w:tcW w:w="992"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150806,8</w:t>
            </w:r>
          </w:p>
        </w:tc>
        <w:tc>
          <w:tcPr>
            <w:tcW w:w="1026"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153430,9</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137280,5</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133573,6</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63405,9</w:t>
            </w:r>
          </w:p>
        </w:tc>
        <w:tc>
          <w:tcPr>
            <w:tcW w:w="1026"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65923,7</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57010,7</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57010,7</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87400,9</w:t>
            </w:r>
          </w:p>
        </w:tc>
        <w:tc>
          <w:tcPr>
            <w:tcW w:w="1026"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87507,2</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80269,8</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76562,9</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both"/>
              <w:rPr>
                <w:rFonts w:ascii="Times New Roman" w:hAnsi="Times New Roman" w:cs="Times New Roman"/>
              </w:rPr>
            </w:pPr>
            <w:r w:rsidRPr="00F11653">
              <w:rPr>
                <w:rFonts w:ascii="Times New Roman" w:hAnsi="Times New Roman" w:cs="Times New Roman"/>
              </w:rPr>
              <w:t>в том числе:</w:t>
            </w:r>
          </w:p>
        </w:tc>
        <w:tc>
          <w:tcPr>
            <w:tcW w:w="992"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26"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737"/>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1.1.1.</w:t>
            </w: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«Развитие образования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113423,8</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124037,2</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111198</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108470,1</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415"/>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58152,5</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63707,2</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57010,7</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57010,7</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353"/>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местного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55271,3</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60330,0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54187,3</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51459,4</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205"/>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1.1.2.</w:t>
            </w: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«Культура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9561,4</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10153,4</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8152,5</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8152,5</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290"/>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1131,8</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1840,9</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415"/>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местного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8429,6</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8312,5</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8152,5</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8152,5</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737"/>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«Развитие физической культуры и спорта в Тейковском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177,8</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247,8</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«Поддержка населения в Тейковском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170,0</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70,0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1491"/>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w:t>
            </w:r>
            <w:r>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16289,3</w:t>
            </w: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10050</w:t>
            </w: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8753,5</w:t>
            </w: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Default="00855736" w:rsidP="00424F5A">
            <w:pPr>
              <w:spacing w:after="0" w:line="240" w:lineRule="auto"/>
              <w:ind w:firstLine="34"/>
              <w:jc w:val="center"/>
              <w:rPr>
                <w:rFonts w:ascii="Times New Roman" w:hAnsi="Times New Roman" w:cs="Times New Roman"/>
                <w:bCs/>
                <w:color w:val="000000"/>
                <w:sz w:val="20"/>
                <w:szCs w:val="20"/>
              </w:rPr>
            </w:pPr>
          </w:p>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8071,6</w:t>
            </w:r>
          </w:p>
          <w:p w:rsidR="00855736" w:rsidRDefault="00855736" w:rsidP="00424F5A">
            <w:pPr>
              <w:pStyle w:val="ConsPlusNormal0"/>
              <w:jc w:val="center"/>
              <w:rPr>
                <w:rFonts w:ascii="Times New Roman" w:hAnsi="Times New Roman" w:cs="Times New Roman"/>
              </w:rPr>
            </w:pPr>
          </w:p>
          <w:p w:rsidR="00855736" w:rsidRDefault="00855736" w:rsidP="00424F5A">
            <w:pPr>
              <w:pStyle w:val="ConsPlusNormal0"/>
              <w:jc w:val="center"/>
              <w:rPr>
                <w:rFonts w:ascii="Times New Roman" w:hAnsi="Times New Roman" w:cs="Times New Roman"/>
              </w:rPr>
            </w:pPr>
          </w:p>
          <w:p w:rsidR="00855736" w:rsidRDefault="00855736" w:rsidP="00424F5A">
            <w:pPr>
              <w:pStyle w:val="ConsPlusNormal0"/>
              <w:jc w:val="center"/>
              <w:rPr>
                <w:rFonts w:ascii="Times New Roman" w:hAnsi="Times New Roman" w:cs="Times New Roman"/>
              </w:rPr>
            </w:pPr>
          </w:p>
          <w:p w:rsidR="00855736" w:rsidRDefault="00855736" w:rsidP="00424F5A">
            <w:pPr>
              <w:pStyle w:val="ConsPlusNormal0"/>
              <w:jc w:val="center"/>
              <w:rPr>
                <w:rFonts w:ascii="Times New Roman" w:hAnsi="Times New Roman" w:cs="Times New Roman"/>
              </w:rPr>
            </w:pPr>
          </w:p>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318"/>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758,0</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318"/>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местного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15531,3</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10050</w:t>
            </w:r>
          </w:p>
          <w:p w:rsidR="00855736"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8753,5</w:t>
            </w:r>
          </w:p>
          <w:p w:rsidR="00855736"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8071,6</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936"/>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«Улучшение кормовой базы в общественном животноводстве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189</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«Экономическое развитие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244,6</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400,0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200,0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jc w:val="both"/>
              <w:rPr>
                <w:rFonts w:ascii="Times New Roman" w:hAnsi="Times New Roman" w:cs="Times New Roman"/>
                <w:sz w:val="20"/>
                <w:szCs w:val="20"/>
              </w:rPr>
            </w:pPr>
            <w:r w:rsidRPr="00E33200">
              <w:rPr>
                <w:rFonts w:ascii="Times New Roman" w:hAnsi="Times New Roman" w:cs="Times New Roman"/>
                <w:sz w:val="20"/>
                <w:szCs w:val="20"/>
              </w:rPr>
              <w:t>«Создание благоприятных условий в целях привлечения медицинских работников для работы в учреждениях здравоохранения, расположенных на территории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200,0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«Развитие информационного общества Тейковского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980</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«Информатизация и информационная безопасность Тейковского муниципального района» </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1330,0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1330,0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1330,0</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"Обеспечение безопасности граждан и профилактика правонарушений в Тейковском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513,6</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525,6</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363,6</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375,6</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местного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150,0</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«Развитие сельского хозяйства и регулирование рынков сельскохозяйственной продукции, сырья и продовольствия в Тейковском муниципальном районе </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321,7</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770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1796,6</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1514</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"Патриотическое воспитание детей и молодежи и подготовка молодежи Тейковского муниципального района к военной службе"</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100,0</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sz w:val="20"/>
                <w:szCs w:val="20"/>
              </w:rPr>
              <w:t>«Улучшение условий и охраны труда в Тейковском муниципальном районе»</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64,7</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 xml:space="preserve">50,0 </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rPr>
          <w:trHeight w:val="1054"/>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bCs/>
                <w:color w:val="000000"/>
                <w:sz w:val="20"/>
                <w:szCs w:val="20"/>
              </w:rPr>
              <w:t>«Повышение безопасности дорожного движения на территории Тейковского муниципального района на 2017-2020 годы»</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250,0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250,0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250,0</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sidRPr="00F11653">
              <w:rPr>
                <w:rFonts w:ascii="Times New Roman" w:hAnsi="Times New Roman" w:cs="Times New Roman"/>
                <w:bCs/>
                <w:color w:val="000000"/>
                <w:sz w:val="20"/>
                <w:szCs w:val="20"/>
              </w:rPr>
              <w:t xml:space="preserve"> «Развитие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8693,3</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4846,9</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5499,9</w:t>
            </w:r>
          </w:p>
        </w:tc>
        <w:tc>
          <w:tcPr>
            <w:tcW w:w="1009"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p>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c>
          <w:tcPr>
            <w:tcW w:w="1009"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p>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c>
          <w:tcPr>
            <w:tcW w:w="1009"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p>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областного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3000</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местного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5693,3</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4846,9</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5499,9</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5735,4</w:t>
            </w: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«Создание условий для развития туризма в Тейковском муниципальном районе» </w:t>
            </w:r>
          </w:p>
        </w:tc>
        <w:tc>
          <w:tcPr>
            <w:tcW w:w="992"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77,6</w:t>
            </w:r>
          </w:p>
        </w:tc>
        <w:tc>
          <w:tcPr>
            <w:tcW w:w="1026"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150,0</w:t>
            </w:r>
          </w:p>
        </w:tc>
        <w:tc>
          <w:tcPr>
            <w:tcW w:w="1009" w:type="dxa"/>
            <w:tcBorders>
              <w:top w:val="single" w:sz="4" w:space="0" w:color="auto"/>
              <w:left w:val="single" w:sz="4" w:space="0" w:color="auto"/>
              <w:bottom w:val="single" w:sz="4" w:space="0" w:color="auto"/>
              <w:right w:val="single" w:sz="4" w:space="0" w:color="auto"/>
            </w:tcBorders>
            <w:vAlign w:val="center"/>
          </w:tcPr>
          <w:p w:rsidR="00855736" w:rsidRPr="00F11653" w:rsidRDefault="00855736" w:rsidP="00424F5A">
            <w:pPr>
              <w:spacing w:after="0" w:line="240" w:lineRule="auto"/>
              <w:ind w:firstLine="34"/>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50,0</w:t>
            </w:r>
          </w:p>
        </w:tc>
        <w:tc>
          <w:tcPr>
            <w:tcW w:w="1009"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p>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r w:rsidRPr="00F11653">
              <w:rPr>
                <w:rFonts w:ascii="Times New Roman" w:hAnsi="Times New Roman" w:cs="Times New Roman"/>
              </w:rPr>
              <w:t>1.2.</w:t>
            </w: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both"/>
              <w:rPr>
                <w:rFonts w:ascii="Times New Roman" w:hAnsi="Times New Roman" w:cs="Times New Roman"/>
              </w:rPr>
            </w:pPr>
            <w:r w:rsidRPr="00F11653">
              <w:rPr>
                <w:rFonts w:ascii="Times New Roman" w:hAnsi="Times New Roman" w:cs="Times New Roman"/>
              </w:rPr>
              <w:t>Непрограммные направления расходов бюджета</w:t>
            </w:r>
          </w:p>
        </w:tc>
        <w:tc>
          <w:tcPr>
            <w:tcW w:w="992" w:type="dxa"/>
            <w:tcBorders>
              <w:top w:val="single" w:sz="4" w:space="0" w:color="auto"/>
              <w:left w:val="single" w:sz="4" w:space="0" w:color="auto"/>
              <w:bottom w:val="single" w:sz="4" w:space="0" w:color="auto"/>
              <w:right w:val="single" w:sz="4" w:space="0" w:color="auto"/>
            </w:tcBorders>
          </w:tcPr>
          <w:p w:rsidR="00855736" w:rsidRPr="00AB7C25" w:rsidRDefault="00855736" w:rsidP="00424F5A">
            <w:pPr>
              <w:pStyle w:val="ConsPlusNormal0"/>
              <w:jc w:val="center"/>
              <w:rPr>
                <w:rFonts w:ascii="Times New Roman" w:hAnsi="Times New Roman" w:cs="Times New Roman"/>
              </w:rPr>
            </w:pPr>
            <w:r>
              <w:rPr>
                <w:rFonts w:ascii="Times New Roman" w:hAnsi="Times New Roman" w:cs="Times New Roman"/>
              </w:rPr>
              <w:t>30995,8</w:t>
            </w:r>
          </w:p>
        </w:tc>
        <w:tc>
          <w:tcPr>
            <w:tcW w:w="1026" w:type="dxa"/>
            <w:tcBorders>
              <w:top w:val="single" w:sz="4" w:space="0" w:color="auto"/>
              <w:left w:val="single" w:sz="4" w:space="0" w:color="auto"/>
              <w:bottom w:val="single" w:sz="4" w:space="0" w:color="auto"/>
              <w:right w:val="single" w:sz="4" w:space="0" w:color="auto"/>
            </w:tcBorders>
          </w:tcPr>
          <w:p w:rsidR="00855736" w:rsidRPr="00AB7C25" w:rsidRDefault="00855736" w:rsidP="00424F5A">
            <w:pPr>
              <w:pStyle w:val="ConsPlusNormal0"/>
              <w:jc w:val="center"/>
              <w:rPr>
                <w:rFonts w:ascii="Times New Roman" w:hAnsi="Times New Roman" w:cs="Times New Roman"/>
              </w:rPr>
            </w:pPr>
            <w:r>
              <w:rPr>
                <w:rFonts w:ascii="Times New Roman" w:hAnsi="Times New Roman" w:cs="Times New Roman"/>
              </w:rPr>
              <w:t>33883,9</w:t>
            </w:r>
          </w:p>
        </w:tc>
        <w:tc>
          <w:tcPr>
            <w:tcW w:w="1009" w:type="dxa"/>
            <w:tcBorders>
              <w:top w:val="single" w:sz="4" w:space="0" w:color="auto"/>
              <w:left w:val="single" w:sz="4" w:space="0" w:color="auto"/>
              <w:bottom w:val="single" w:sz="4" w:space="0" w:color="auto"/>
              <w:right w:val="single" w:sz="4" w:space="0" w:color="auto"/>
            </w:tcBorders>
          </w:tcPr>
          <w:p w:rsidR="00855736" w:rsidRPr="00AB7C25" w:rsidRDefault="00855736" w:rsidP="00424F5A">
            <w:pPr>
              <w:pStyle w:val="ConsPlusNormal0"/>
              <w:jc w:val="center"/>
              <w:rPr>
                <w:rFonts w:ascii="Times New Roman" w:hAnsi="Times New Roman" w:cs="Times New Roman"/>
              </w:rPr>
            </w:pPr>
            <w:r>
              <w:rPr>
                <w:rFonts w:ascii="Times New Roman" w:hAnsi="Times New Roman" w:cs="Times New Roman"/>
              </w:rPr>
              <w:t>42747,5</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46098,3</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176211,8</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176531,1</w:t>
            </w:r>
          </w:p>
        </w:tc>
      </w:tr>
      <w:tr w:rsidR="00855736" w:rsidRPr="00F11653" w:rsidTr="00424F5A">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областного бюджета</w:t>
            </w:r>
          </w:p>
        </w:tc>
        <w:tc>
          <w:tcPr>
            <w:tcW w:w="992"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235</w:t>
            </w:r>
          </w:p>
        </w:tc>
        <w:tc>
          <w:tcPr>
            <w:tcW w:w="1026"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258,8</w:t>
            </w:r>
          </w:p>
        </w:tc>
        <w:tc>
          <w:tcPr>
            <w:tcW w:w="1009"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373,4</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373,4</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54520,2</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54520,2</w:t>
            </w:r>
          </w:p>
        </w:tc>
      </w:tr>
      <w:tr w:rsidR="00855736" w:rsidRPr="00F11653" w:rsidTr="00424F5A">
        <w:trPr>
          <w:trHeight w:val="17"/>
        </w:trPr>
        <w:tc>
          <w:tcPr>
            <w:tcW w:w="56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pStyle w:val="ConsPlusNorma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rsidR="00855736" w:rsidRPr="00F11653" w:rsidRDefault="00855736" w:rsidP="00424F5A">
            <w:pPr>
              <w:spacing w:after="0" w:line="240" w:lineRule="auto"/>
              <w:rPr>
                <w:rFonts w:ascii="Times New Roman" w:hAnsi="Times New Roman" w:cs="Times New Roman"/>
                <w:sz w:val="20"/>
                <w:szCs w:val="20"/>
              </w:rPr>
            </w:pPr>
            <w:r>
              <w:rPr>
                <w:rFonts w:ascii="Times New Roman" w:hAnsi="Times New Roman" w:cs="Times New Roman"/>
                <w:sz w:val="20"/>
                <w:szCs w:val="20"/>
              </w:rPr>
              <w:t>- средства местного бюджета</w:t>
            </w:r>
          </w:p>
        </w:tc>
        <w:tc>
          <w:tcPr>
            <w:tcW w:w="992"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30760,8</w:t>
            </w:r>
          </w:p>
        </w:tc>
        <w:tc>
          <w:tcPr>
            <w:tcW w:w="1026"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33625,1</w:t>
            </w:r>
          </w:p>
        </w:tc>
        <w:tc>
          <w:tcPr>
            <w:tcW w:w="1009" w:type="dxa"/>
            <w:tcBorders>
              <w:top w:val="single" w:sz="4" w:space="0" w:color="auto"/>
              <w:left w:val="single" w:sz="4" w:space="0" w:color="auto"/>
              <w:bottom w:val="single" w:sz="4" w:space="0" w:color="auto"/>
              <w:right w:val="single" w:sz="4" w:space="0" w:color="auto"/>
            </w:tcBorders>
          </w:tcPr>
          <w:p w:rsidR="00855736" w:rsidRDefault="00855736" w:rsidP="00424F5A">
            <w:pPr>
              <w:pStyle w:val="ConsPlusNormal0"/>
              <w:jc w:val="center"/>
              <w:rPr>
                <w:rFonts w:ascii="Times New Roman" w:hAnsi="Times New Roman" w:cs="Times New Roman"/>
              </w:rPr>
            </w:pPr>
            <w:r>
              <w:rPr>
                <w:rFonts w:ascii="Times New Roman" w:hAnsi="Times New Roman" w:cs="Times New Roman"/>
              </w:rPr>
              <w:t>42374,1</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45724,9</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121691,6</w:t>
            </w:r>
          </w:p>
        </w:tc>
        <w:tc>
          <w:tcPr>
            <w:tcW w:w="1009" w:type="dxa"/>
            <w:tcBorders>
              <w:top w:val="single" w:sz="4" w:space="0" w:color="auto"/>
              <w:left w:val="single" w:sz="4" w:space="0" w:color="auto"/>
              <w:bottom w:val="single" w:sz="4" w:space="0" w:color="auto"/>
              <w:right w:val="single" w:sz="4" w:space="0" w:color="auto"/>
            </w:tcBorders>
          </w:tcPr>
          <w:p w:rsidR="00855736" w:rsidRPr="00F11653" w:rsidRDefault="00855736" w:rsidP="00424F5A">
            <w:pPr>
              <w:pStyle w:val="ConsPlusNormal0"/>
              <w:jc w:val="center"/>
              <w:rPr>
                <w:rFonts w:ascii="Times New Roman" w:hAnsi="Times New Roman" w:cs="Times New Roman"/>
              </w:rPr>
            </w:pPr>
            <w:r>
              <w:rPr>
                <w:rFonts w:ascii="Times New Roman" w:hAnsi="Times New Roman" w:cs="Times New Roman"/>
              </w:rPr>
              <w:t>122010,9</w:t>
            </w:r>
          </w:p>
        </w:tc>
      </w:tr>
    </w:tbl>
    <w:p w:rsidR="00B33F35" w:rsidRDefault="00B33F35" w:rsidP="00B33F35">
      <w:pPr>
        <w:pStyle w:val="ConsPlusNormal0"/>
        <w:rPr>
          <w:rFonts w:ascii="Times New Roman" w:hAnsi="Times New Roman" w:cs="Times New Roman"/>
          <w:b/>
          <w:sz w:val="28"/>
          <w:szCs w:val="28"/>
        </w:rPr>
      </w:pPr>
    </w:p>
    <w:p w:rsidR="00EA624F" w:rsidRDefault="00EA624F"/>
    <w:sectPr w:rsidR="00EA624F" w:rsidSect="00B33F35">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33F35"/>
    <w:rsid w:val="0002661A"/>
    <w:rsid w:val="003E2811"/>
    <w:rsid w:val="00646CCC"/>
    <w:rsid w:val="00855736"/>
    <w:rsid w:val="00B33F35"/>
    <w:rsid w:val="00CA3727"/>
    <w:rsid w:val="00EA6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ECA14-F80B-4555-A633-1132F84E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99"/>
    <w:locked/>
    <w:rsid w:val="00B33F35"/>
    <w:rPr>
      <w:rFonts w:ascii="Calibri" w:eastAsiaTheme="minorHAnsi" w:hAnsi="Calibri" w:cs="Times New Roman"/>
      <w:sz w:val="24"/>
      <w:szCs w:val="32"/>
      <w:lang w:val="en-US" w:eastAsia="en-US" w:bidi="en-US"/>
    </w:rPr>
  </w:style>
  <w:style w:type="paragraph" w:styleId="a4">
    <w:name w:val="No Spacing"/>
    <w:basedOn w:val="a"/>
    <w:link w:val="a3"/>
    <w:uiPriority w:val="99"/>
    <w:qFormat/>
    <w:rsid w:val="00B33F35"/>
    <w:pPr>
      <w:spacing w:after="0" w:line="240" w:lineRule="auto"/>
    </w:pPr>
    <w:rPr>
      <w:rFonts w:ascii="Calibri" w:eastAsiaTheme="minorHAnsi" w:hAnsi="Calibri" w:cs="Times New Roman"/>
      <w:sz w:val="24"/>
      <w:szCs w:val="32"/>
      <w:lang w:val="en-US" w:eastAsia="en-US" w:bidi="en-US"/>
    </w:rPr>
  </w:style>
  <w:style w:type="character" w:customStyle="1" w:styleId="ConsPlusNormal">
    <w:name w:val="ConsPlusNormal Знак"/>
    <w:link w:val="ConsPlusNormal0"/>
    <w:locked/>
    <w:rsid w:val="00B33F35"/>
    <w:rPr>
      <w:rFonts w:ascii="Arial" w:hAnsi="Arial" w:cs="Arial"/>
      <w:sz w:val="20"/>
      <w:szCs w:val="20"/>
    </w:rPr>
  </w:style>
  <w:style w:type="paragraph" w:customStyle="1" w:styleId="ConsPlusNormal0">
    <w:name w:val="ConsPlusNormal"/>
    <w:link w:val="ConsPlusNormal"/>
    <w:rsid w:val="00B33F35"/>
    <w:pPr>
      <w:autoSpaceDE w:val="0"/>
      <w:autoSpaceDN w:val="0"/>
      <w:adjustRightInd w:val="0"/>
      <w:spacing w:after="0" w:line="240" w:lineRule="auto"/>
    </w:pPr>
    <w:rPr>
      <w:rFonts w:ascii="Arial" w:hAnsi="Arial" w:cs="Arial"/>
      <w:sz w:val="20"/>
      <w:szCs w:val="20"/>
    </w:rPr>
  </w:style>
  <w:style w:type="paragraph" w:customStyle="1" w:styleId="ConsNormal">
    <w:name w:val="ConsNormal"/>
    <w:rsid w:val="00B33F35"/>
    <w:pPr>
      <w:widowControl w:val="0"/>
      <w:spacing w:after="0" w:line="240" w:lineRule="auto"/>
      <w:ind w:firstLine="720"/>
    </w:pPr>
    <w:rPr>
      <w:rFonts w:ascii="Arial" w:eastAsia="Times New Roman" w:hAnsi="Arial" w:cs="Times New Roman"/>
      <w:snapToGrid w:val="0"/>
      <w:sz w:val="20"/>
      <w:szCs w:val="20"/>
    </w:rPr>
  </w:style>
  <w:style w:type="paragraph" w:customStyle="1" w:styleId="ConsPlusTitle">
    <w:name w:val="ConsPlusTitle"/>
    <w:uiPriority w:val="99"/>
    <w:rsid w:val="00B33F35"/>
    <w:pPr>
      <w:widowControl w:val="0"/>
      <w:spacing w:after="0" w:line="240" w:lineRule="auto"/>
    </w:pPr>
    <w:rPr>
      <w:rFonts w:ascii="Times New Roman" w:eastAsia="Times New Roman" w:hAnsi="Times New Roman" w:cs="Times New Roman"/>
      <w:b/>
      <w:snapToGrid w:val="0"/>
      <w:sz w:val="28"/>
      <w:szCs w:val="20"/>
    </w:rPr>
  </w:style>
  <w:style w:type="paragraph" w:styleId="a5">
    <w:name w:val="Normal (Web)"/>
    <w:aliases w:val="Знак"/>
    <w:basedOn w:val="a"/>
    <w:semiHidden/>
    <w:unhideWhenUsed/>
    <w:rsid w:val="00B33F35"/>
    <w:pPr>
      <w:spacing w:before="100" w:beforeAutospacing="1" w:after="100" w:afterAutospacing="1" w:line="480" w:lineRule="auto"/>
    </w:pPr>
    <w:rPr>
      <w:rFonts w:ascii="Times New Roman" w:eastAsia="Times New Roman" w:hAnsi="Times New Roman" w:cs="Times New Roman"/>
      <w:sz w:val="24"/>
      <w:szCs w:val="24"/>
    </w:rPr>
  </w:style>
  <w:style w:type="paragraph" w:customStyle="1" w:styleId="a6">
    <w:name w:val="Прижатый влево"/>
    <w:basedOn w:val="a"/>
    <w:next w:val="a"/>
    <w:rsid w:val="00B33F35"/>
    <w:pPr>
      <w:autoSpaceDE w:val="0"/>
      <w:autoSpaceDN w:val="0"/>
      <w:adjustRightInd w:val="0"/>
      <w:spacing w:after="0" w:line="240" w:lineRule="auto"/>
    </w:pPr>
    <w:rPr>
      <w:rFonts w:ascii="Arial" w:eastAsia="Calibri" w:hAnsi="Arial" w:cs="Times New Roman"/>
      <w:sz w:val="20"/>
      <w:szCs w:val="20"/>
    </w:rPr>
  </w:style>
  <w:style w:type="character" w:customStyle="1" w:styleId="a7">
    <w:name w:val="Основной текст_"/>
    <w:basedOn w:val="a0"/>
    <w:link w:val="4"/>
    <w:rsid w:val="00B33F35"/>
    <w:rPr>
      <w:rFonts w:ascii="Times New Roman" w:eastAsia="Times New Roman" w:hAnsi="Times New Roman" w:cs="Times New Roman"/>
      <w:sz w:val="16"/>
      <w:szCs w:val="16"/>
      <w:shd w:val="clear" w:color="auto" w:fill="FFFFFF"/>
    </w:rPr>
  </w:style>
  <w:style w:type="paragraph" w:customStyle="1" w:styleId="4">
    <w:name w:val="Основной текст4"/>
    <w:basedOn w:val="a"/>
    <w:link w:val="a7"/>
    <w:rsid w:val="00B33F35"/>
    <w:pPr>
      <w:widowControl w:val="0"/>
      <w:shd w:val="clear" w:color="auto" w:fill="FFFFFF"/>
      <w:spacing w:after="420" w:line="240" w:lineRule="exact"/>
    </w:pPr>
    <w:rPr>
      <w:rFonts w:ascii="Times New Roman" w:eastAsia="Times New Roman" w:hAnsi="Times New Roman" w:cs="Times New Roman"/>
      <w:sz w:val="16"/>
      <w:szCs w:val="16"/>
    </w:rPr>
  </w:style>
  <w:style w:type="paragraph" w:styleId="a8">
    <w:name w:val="Balloon Text"/>
    <w:basedOn w:val="a"/>
    <w:link w:val="a9"/>
    <w:uiPriority w:val="99"/>
    <w:semiHidden/>
    <w:unhideWhenUsed/>
    <w:rsid w:val="00B33F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3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4499</Words>
  <Characters>25646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Финансовый отдел</Company>
  <LinksUpToDate>false</LinksUpToDate>
  <CharactersWithSpaces>30085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dc:creator>
  <cp:keywords/>
  <dc:description/>
  <cp:lastModifiedBy>Администрация</cp:lastModifiedBy>
  <cp:revision>8</cp:revision>
  <dcterms:created xsi:type="dcterms:W3CDTF">2019-01-14T10:20:00Z</dcterms:created>
  <dcterms:modified xsi:type="dcterms:W3CDTF">2019-01-14T13:44:00Z</dcterms:modified>
</cp:coreProperties>
</file>