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8C2D90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от 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proofErr w:type="gramEnd"/>
      <w:r w:rsidR="00E10CDB">
        <w:rPr>
          <w:rFonts w:ascii="Times New Roman" w:eastAsia="Times New Roman" w:hAnsi="Times New Roman" w:cs="Times New Roman"/>
          <w:lang w:eastAsia="ru-RU"/>
        </w:rPr>
        <w:t>, от 05.07.2018 № 370</w:t>
      </w:r>
      <w:r w:rsidR="0057249F">
        <w:rPr>
          <w:rFonts w:ascii="Times New Roman" w:eastAsia="Times New Roman" w:hAnsi="Times New Roman" w:cs="Times New Roman"/>
          <w:lang w:eastAsia="ru-RU"/>
        </w:rPr>
        <w:t xml:space="preserve">, от 21.11.2018 № </w:t>
      </w:r>
      <w:r w:rsidR="004F57D8">
        <w:rPr>
          <w:rFonts w:ascii="Times New Roman" w:eastAsia="Times New Roman" w:hAnsi="Times New Roman" w:cs="Times New Roman"/>
          <w:lang w:eastAsia="ru-RU"/>
        </w:rPr>
        <w:t>518, от 19.02.2019 № 62, от 13.03.2019 №79)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Муниципальное бюджетное общеобразовательное учреждение Тейковского муниципального района «Новогоряновская средняя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Муниципальное казенное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E92F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ребенка в возрасте от 6 лет до 6 месяцев (лиц моложе указанного возраста при наличии разрешения отдела образования)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Российской Федерации от 12.12.1993г.;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-Федеральный закон от 07.02.2011 №3 – ФЗ «о полиции»;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-Федеральный закон от 27.05.1998 №76-ФЗ  «О статусе военнослужащих»;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</w:t>
            </w:r>
            <w:proofErr w:type="spellStart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</w:t>
            </w:r>
            <w:proofErr w:type="gramStart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</w:t>
            </w:r>
            <w:proofErr w:type="gramEnd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образовательным программам начального общего, основного общего и среднего общего образования»;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иные нормативные правовые акты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ред. постановлений администрации Тейковского муниципального района от 14.06.2016 №94, от 10.04.2017 №122, от 07.06.2018 № 315, от 11.02.2019 №46»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ab/>
            </w:r>
            <w:proofErr w:type="gramEnd"/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Тейковского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представители) обучающихся 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отказ в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№ 1 п. 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 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начального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«Сказка»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Тейковского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п.Нерль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Федеральный закон от 06.10.2003г. № 131-ФЗ «Об общих принципах организации местного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образовательным стандартом дошкольного образования;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она «Большеклочковская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25.07.2002г. №115-ФЗ «О правовом положении иностранных граждан в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казенное учреждение дополнительного образования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06.10.2003г. № 131-ФЗ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17 июля 1999 года № 178-ФЗ «О государственной социальной помощи»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«Сказка»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ниципальное казённое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тия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Российской Федерации от 10.05.2011     № 207 «Об 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D235B1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E92F93" w:rsidRPr="00D235B1" w:rsidRDefault="00E92F93" w:rsidP="004474D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администрацией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E92F93" w:rsidRPr="00D235B1" w:rsidRDefault="00E92F93" w:rsidP="004474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 заинтересованные лица либо их уполномоченные представители </w:t>
            </w:r>
          </w:p>
        </w:tc>
        <w:tc>
          <w:tcPr>
            <w:tcW w:w="4252" w:type="dxa"/>
          </w:tcPr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92F93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E92F93" w:rsidRPr="00D235B1" w:rsidRDefault="00E92F93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мониторинговый отказ в предоставлении муниципальной услуги</w:t>
            </w:r>
          </w:p>
        </w:tc>
        <w:tc>
          <w:tcPr>
            <w:tcW w:w="1560" w:type="dxa"/>
          </w:tcPr>
          <w:p w:rsidR="00E92F93" w:rsidRPr="00D235B1" w:rsidRDefault="00E92F93" w:rsidP="00F2092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24.09.2018 г. №447 «О внесении изменений в постановление администрации Тейковского муниципального района от 10.04.2018г. №236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схему планировочной организации земельного участка, выполненную в соответствии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е) проект организации строительства объекта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капитального строительства;</w:t>
            </w:r>
          </w:p>
          <w:p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1D2DE5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985" w:type="dxa"/>
          </w:tcPr>
          <w:p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сли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положительного заключения государственной экологической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E92F93" w:rsidRPr="00292BE5" w:rsidRDefault="00E92F93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E92F93" w:rsidRPr="001D2DE5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ГУ «</w:t>
            </w:r>
            <w:proofErr w:type="spellStart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1D2DE5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E92F93" w:rsidRPr="003032BF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E92F93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:rsidR="00E92F93" w:rsidRPr="005728BA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Pr="00D235B1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2F93" w:rsidRPr="00D235B1" w:rsidRDefault="00E92F93" w:rsidP="005624DB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24.11.1995 г. № 181-ФЗ «О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социальной защите инвалидов в Российской Федерации»;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E92F93" w:rsidRPr="00D235B1" w:rsidRDefault="00E92F93" w:rsidP="00E07D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24.09.2018г. №448 «О внесении изменений в постановление администрации Тейковского муниципального района от 17.06.2016г. № 102 «Об утверждении административного регламента предоставления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85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985" w:type="dxa"/>
          </w:tcPr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границах земельного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 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1985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70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</w:t>
            </w:r>
          </w:p>
        </w:tc>
        <w:tc>
          <w:tcPr>
            <w:tcW w:w="1985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:rsidR="00E92F93" w:rsidRPr="00E177DA" w:rsidRDefault="00E92F93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85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Подтверждение в письменной форме согласия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92F93" w:rsidRPr="00D235B1" w:rsidRDefault="00E92F93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Собственник или иной законный владелец недвижимого имущества, к которому крепится рекламная конструкция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85" w:type="dxa"/>
          </w:tcPr>
          <w:p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:rsidR="00E92F93" w:rsidRPr="00D235B1" w:rsidRDefault="00E92F93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985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проекта рекламной конструкции с надписью главного инженера проекта (ГИП) о соответствии технических решений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Проектная организация</w:t>
            </w:r>
          </w:p>
        </w:tc>
        <w:tc>
          <w:tcPr>
            <w:tcW w:w="70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:rsidR="00E92F93" w:rsidRPr="004372C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муниципального района 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:rsidR="00E92F93" w:rsidRDefault="00E92F93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15.06.2018 № 324).» </w:t>
            </w:r>
          </w:p>
        </w:tc>
      </w:tr>
      <w:tr w:rsidR="00E92F93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252" w:type="dxa"/>
          </w:tcPr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Земельный кодекс Российской Федерации от 25.10.2001 № 136-ФЗ;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06.10.2003 № 131-ФЗ «Об общих принципах организации местного </w:t>
            </w: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самоуправления в Российской Федерации»;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E92F93" w:rsidRPr="00377A58" w:rsidRDefault="00E92F93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E92F93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E92F93" w:rsidRPr="000610BA" w:rsidRDefault="00E92F93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2F93" w:rsidRPr="00E921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E92F93" w:rsidRPr="00E921DA" w:rsidRDefault="00E92F93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E92F93" w:rsidRPr="00E177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E92F93" w:rsidRPr="00296A08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92F93" w:rsidRPr="00EE43D6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продление срока действия разрешения на строительство либо мотивированный отказ в продлении срока действия разрешения на строительство;</w:t>
            </w:r>
          </w:p>
          <w:p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4F57D8" w:rsidRPr="00296A08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DA131E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уведомления 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(несоответствии) указанных в уведомлении 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уведомлении об изменении параметров планируемого строительства или реконструкции объекта индивидуального жилищного </w:t>
            </w:r>
            <w:r w:rsidR="00DA131E">
              <w:rPr>
                <w:rFonts w:ascii="Times New Roman" w:hAnsi="Times New Roman" w:cs="Times New Roman"/>
                <w:sz w:val="20"/>
                <w:szCs w:val="20"/>
              </w:rPr>
              <w:t>строительства или садового дома</w:t>
            </w:r>
            <w:bookmarkStart w:id="0" w:name="_GoBack"/>
            <w:bookmarkEnd w:id="0"/>
          </w:p>
          <w:p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градостроительства управления координации жилищно-коммунального, дорожного хозяйства и градостроительства администрации Тейковского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4F57D8" w:rsidP="00872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4F57D8" w:rsidP="00872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t>Застройщики - юридические и физические лица, в том числе индивидуальн</w:t>
            </w: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ые предприниматели, являющиеся застройщиками (техническими заказчиками), планирующие осуществить строительство или реконструкцию объекта индивидуального жилищного строительства или садового дома либо внести изменение в параметры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Градостроительный кодекс Российской Федерации;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Лесной кодекс Российской Федерации;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Земельный кодекс Российской Федерации;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Водный кодекс Российской Федерации;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Федеральный закон от 06.10.2003 № 131-ФЗ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общих принципах организации местного самоуправления в Российской Федерации»;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6" w:history="1">
              <w:r w:rsidRPr="00E0394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приказ</w:t>
              </w:r>
            </w:hyperlink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Минстроя России от 19.09.2018 №591/</w:t>
            </w:r>
            <w:proofErr w:type="spellStart"/>
            <w:proofErr w:type="gramStart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7" w:history="1">
              <w:r w:rsidRPr="00E0394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постановление</w:t>
              </w:r>
            </w:hyperlink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Правила землепользования и застройки сельских поселений Тейковского муниципального района;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Устав Тейковского муниципального района;</w:t>
            </w:r>
          </w:p>
          <w:p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Перечень нормативно-правовых актов не является исчерпывающим.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услуга предоставляется на безвозмез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принятие решения о соответствии/несоответствии указанных в уведомлении 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</w:t>
            </w:r>
            <w:proofErr w:type="gramEnd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о возврате либо отказе в предоставлении муниципальной услуги либо уведомления об отказе в предоставлении муниципальной услуги.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D8" w:rsidRPr="00E177DA" w:rsidRDefault="004F57D8" w:rsidP="0087204B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15.02.2019г. №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E92F93" w:rsidRPr="00EB031A" w:rsidTr="00984479">
        <w:trPr>
          <w:trHeight w:val="242"/>
        </w:trPr>
        <w:tc>
          <w:tcPr>
            <w:tcW w:w="596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4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E92F93" w:rsidRPr="00EB031A" w:rsidRDefault="00E92F93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E92F93" w:rsidRPr="00FB0515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E92F93" w:rsidRPr="00EB031A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E92F93" w:rsidRPr="00EB031A" w:rsidRDefault="00E92F93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E92F93" w:rsidRPr="00EB031A" w:rsidTr="00984479">
        <w:trPr>
          <w:trHeight w:val="242"/>
        </w:trPr>
        <w:tc>
          <w:tcPr>
            <w:tcW w:w="596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EB031A" w:rsidTr="0057249F">
        <w:trPr>
          <w:trHeight w:val="5235"/>
        </w:trPr>
        <w:tc>
          <w:tcPr>
            <w:tcW w:w="596" w:type="dxa"/>
          </w:tcPr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E92F93" w:rsidRDefault="00E92F93" w:rsidP="00572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  <w:p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E92F93" w:rsidRPr="00EB031A" w:rsidTr="0057249F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Отдел экономического развития, торговли и имущественных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Субъекты малого и среднего предпринимательства, организации, образующие инфраструктуру поддержки малого и среднего предпринимательства,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-Конституция РФ;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первая);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вторая);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27.07.2010 № 210 – ФЗ «Об организациях предоставления государственных и муниципальных услуг»;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26.07.2006 № 135 – ФЗ «О защите конкуренции»;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02.05.2006 № 59 – ФЗ «О порядке рассмотрения обращений граждан Российской Федерации»;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24.07.2007 № 209 – ФЗ «О развитии малого и среднего предпринимательства в Российской Федерации»;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06.04.2011 № 63 – ФЗ «Об электронной подписи»;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27.07.2006 № 152 – ФЗ «О персональных данных»;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-Приказ ФАС России от 10.02.2010 № 67 «О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предусмотренных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24.11.1995 № 181 – ФЗ «О социальной защите инвалидов в Российской Федерации»;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01.12.2014 № 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-Устав Тейковского муниципального района;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28.03.2012 № 174 – р «Об утверждении Порядка управления и распоряжения имуществом, находящимся в муниципальной собственности Тейковского муниципального района»;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№187 – р «Об утверждении порядка предоставления муниципального имущества Тейковского муниципального района в аренду, </w:t>
            </w:r>
            <w:proofErr w:type="spellStart"/>
            <w:r w:rsidRPr="0057249F">
              <w:rPr>
                <w:rFonts w:ascii="Times New Roman" w:hAnsi="Times New Roman"/>
                <w:sz w:val="18"/>
                <w:szCs w:val="18"/>
              </w:rPr>
              <w:t>безвозмедное</w:t>
            </w:r>
            <w:proofErr w:type="spell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пользование»;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19.12.2013 №289 – р «О порядке формирования, ведения и обязательного опубликования перечня имущества Тейковского муниципального района, свободного от прав третьих лиц ( за исключением имущественных прав субъектов малого и среднего предпринимательства)»;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-постановление Совета Тейковского муниципального района от 12.02.2014 № 529 «Об утверждении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 188 – р «Об определении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размера арендной платы за пользование имуществом, находящиеся в муниципальной собственности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-Заключение договора аренды, безвозмездного пользования муниципальным имуществом Тейковского муниципального района, включенным в Перечень по результатам торгов;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-Заключение договора аренды, безвозмездного пользования муниципальным имуществом Тейковского муниципального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района, включенным в Перечень без проведения торгов в соответствии с действующим законодательством;</w:t>
            </w:r>
          </w:p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-Уведомление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от 13.11.2018г№ 506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(за исключением имущественных прав субъектов малого и среднего предпринимательства)»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E92F93" w:rsidRPr="0048146B" w:rsidRDefault="00E92F93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E92F93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E92F93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предоставлении такого земельного участка без проведения торгов";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1C6A3E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1C6A3E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земель и (или)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8E64A0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лица, граждане Российской </w:t>
            </w:r>
            <w:r w:rsidRPr="00EB64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EB642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92F93" w:rsidRPr="00EB642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закон от 27.07.2010 №210-ФЗ «Об организации предоставления государственных и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муниципальных услуг»;</w:t>
            </w:r>
          </w:p>
          <w:p w:rsidR="00E92F93" w:rsidRPr="00EB642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требований к их формату»;</w:t>
            </w:r>
          </w:p>
          <w:p w:rsidR="00E92F93" w:rsidRPr="00635899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об утверждении схемы расположения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на кадастровом плане территории;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B9392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E92F93" w:rsidRPr="00B9392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E92F93" w:rsidRPr="002453C2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B9392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помещений по договорам социального найма на территории Ивановской области»;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или направление Заявителю уведомления об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отказе в принятии гражданина на 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E92F93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E92F93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  <w:tr w:rsidR="00E92F93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Воздушный кодекс РФ от 19.03.1997 № 60-ФЗ (Собрание законодательства РФ, 24.03.1997, №12 статья 1383);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:rsidR="00E92F93" w:rsidRPr="00F4464D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E92F93" w:rsidRPr="00F4464D" w:rsidRDefault="00E92F93" w:rsidP="00E10CD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92F93" w:rsidRPr="00F4464D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направление (выдача) уведомления об отказе в предоставлении разрешения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Pr="00F4464D" w:rsidRDefault="00E92F93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E92F93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Российской Федерации, сумма среднедушевого дохода и расчетная стоимость имущества которых ниже величины порогового значения доходов и стоимости имущества, устанавливаемых решением Совета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06.04.2011 № 63-Ф «Об электронной подписи»;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27.07.2006 № 152-ФЗ «О персональных данных»;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8F0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352 «Об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Признание граждан малоимущими в целях принятия на учет в качестве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нуждающихся в жилых помещениях, 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Признание Заявителя и членов его семьи малоимущими либо мотивированный отказ в признании 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 № 352</w:t>
            </w:r>
          </w:p>
        </w:tc>
      </w:tr>
      <w:tr w:rsidR="00E92F93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Конституция Российской Федерации;</w:t>
            </w:r>
          </w:p>
          <w:p w:rsidR="00E92F93" w:rsidRPr="00536A04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Госстроя Российской Федерации от 27.09.2003 № 170 «Об 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:rsidR="00E92F93" w:rsidRDefault="00E92F93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353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 завершение переустройства и (или) перепланировки жилого помещения;</w:t>
            </w:r>
          </w:p>
          <w:p w:rsidR="00E92F93" w:rsidRDefault="00E92F93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93" w:rsidRDefault="00E92F93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:rsidR="00E92F93" w:rsidRDefault="00E92F93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5356F"/>
    <w:rsid w:val="00377A58"/>
    <w:rsid w:val="003A748D"/>
    <w:rsid w:val="004159EE"/>
    <w:rsid w:val="004474D9"/>
    <w:rsid w:val="004535B0"/>
    <w:rsid w:val="0047288D"/>
    <w:rsid w:val="00475DC8"/>
    <w:rsid w:val="0048146B"/>
    <w:rsid w:val="004A790F"/>
    <w:rsid w:val="004F57D8"/>
    <w:rsid w:val="005624DB"/>
    <w:rsid w:val="0057249F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855C1"/>
    <w:rsid w:val="006A5984"/>
    <w:rsid w:val="006B7233"/>
    <w:rsid w:val="006F3212"/>
    <w:rsid w:val="006F7E81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027E8"/>
    <w:rsid w:val="00A207FA"/>
    <w:rsid w:val="00A743B3"/>
    <w:rsid w:val="00AA138F"/>
    <w:rsid w:val="00AE2302"/>
    <w:rsid w:val="00AE2747"/>
    <w:rsid w:val="00B16241"/>
    <w:rsid w:val="00B4071D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83899"/>
    <w:rsid w:val="00DA131E"/>
    <w:rsid w:val="00DC499B"/>
    <w:rsid w:val="00E07D8B"/>
    <w:rsid w:val="00E10CD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2F93"/>
    <w:rsid w:val="00E968C9"/>
    <w:rsid w:val="00EA51B3"/>
    <w:rsid w:val="00EB031A"/>
    <w:rsid w:val="00EB6429"/>
    <w:rsid w:val="00EE5B81"/>
    <w:rsid w:val="00F1320A"/>
    <w:rsid w:val="00F14382"/>
    <w:rsid w:val="00F20925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1F20FE365E8CEF7DF75AFM0Z6G" TargetMode="External"/><Relationship Id="rId13" Type="http://schemas.openxmlformats.org/officeDocument/2006/relationships/hyperlink" Target="consultantplus://offline/ref=733C2DEE436B952CA5DC3A8D55B1BFACE2F80AEF68BF99F58E20A10383M0Z5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1475FE33272081EC6FB887761058A0A106266CC5EBE52710F14879572AY5L" TargetMode="External"/><Relationship Id="rId12" Type="http://schemas.openxmlformats.org/officeDocument/2006/relationships/hyperlink" Target="consultantplus://offline/ref=733C2DEE436B952CA5DC3A8D55B1BFACE2F80AEF6ABB99F58E20A10383M0Z5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3C2DEE436B952CA5DC3A8D55B1BFACE2F80AE06CB799F58E20A10383M0Z5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1475FE33272081EC6FB887761058A0A1042565CAEAE52710F14879572AY5L" TargetMode="External"/><Relationship Id="rId11" Type="http://schemas.openxmlformats.org/officeDocument/2006/relationships/hyperlink" Target="consultantplus://offline/ref=733C2DEE436B952CA5DC3A8D55B1BFACE2F80AEE6FBF99F58E20A1038305831C143AD391MFZ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3C2DEE436B952CA5DC3A8D55B1BFACE2F80AE169B799F58E20A10383M0Z5G" TargetMode="External"/><Relationship Id="rId10" Type="http://schemas.openxmlformats.org/officeDocument/2006/relationships/hyperlink" Target="consultantplus://offline/ref=733C2DEE436B952CA5DC3A8D55B1BFACE2F80AE16EBD99F58E20A1038305831C143AD392FC5E3BD1MAZ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3C2DEE436B952CA5DC3A8D55B1BFACE2F80AE46BBA99F58E20A1038305831C143AD392FC5E34D5MAZ2G" TargetMode="External"/><Relationship Id="rId14" Type="http://schemas.openxmlformats.org/officeDocument/2006/relationships/hyperlink" Target="consultantplus://offline/ref=733C2DEE436B952CA5DC3A8D55B1BFACE2FA0BE76BBB99F58E20A10383M0Z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CCF3-DB47-4A0C-9A7E-F718641C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46</Pages>
  <Words>18721</Words>
  <Characters>106715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FINANSY</cp:lastModifiedBy>
  <cp:revision>7</cp:revision>
  <cp:lastPrinted>2018-06-22T08:34:00Z</cp:lastPrinted>
  <dcterms:created xsi:type="dcterms:W3CDTF">2019-02-13T14:05:00Z</dcterms:created>
  <dcterms:modified xsi:type="dcterms:W3CDTF">2019-03-18T12:25:00Z</dcterms:modified>
</cp:coreProperties>
</file>