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98" w:rsidRPr="00CA5D87" w:rsidRDefault="00CA5D87" w:rsidP="00CA5D87">
      <w:pPr>
        <w:pStyle w:val="a9"/>
        <w:tabs>
          <w:tab w:val="left" w:pos="851"/>
        </w:tabs>
        <w:rPr>
          <w:b/>
          <w:bCs/>
          <w:lang w:val="ru-RU"/>
        </w:rPr>
      </w:pPr>
      <w:r>
        <w:rPr>
          <w:b/>
          <w:bCs/>
          <w:lang w:val="ru-RU"/>
        </w:rPr>
        <w:t>ПРОЕКТ</w:t>
      </w:r>
    </w:p>
    <w:p w:rsidR="00C17A98" w:rsidRDefault="00C17A98" w:rsidP="00C17A98">
      <w:pPr>
        <w:pStyle w:val="a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АДМИНИСТРАЦИЯ</w:t>
      </w:r>
    </w:p>
    <w:p w:rsidR="00C17A98" w:rsidRDefault="00C17A98" w:rsidP="00C17A98">
      <w:pPr>
        <w:pStyle w:val="a9"/>
        <w:jc w:val="center"/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ТЕЙКОВСКОГО МУНИЦИПАЛЬНОГО РАЙОНА</w:t>
      </w:r>
    </w:p>
    <w:p w:rsidR="00C17A98" w:rsidRDefault="00C17A98" w:rsidP="00C17A98">
      <w:pPr>
        <w:pStyle w:val="a9"/>
        <w:pBdr>
          <w:bottom w:val="single" w:sz="12" w:space="0" w:color="auto"/>
        </w:pBd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ИВАНОВСКОЙ ОБЛАСТИ</w:t>
      </w:r>
    </w:p>
    <w:p w:rsidR="00C17A98" w:rsidRDefault="00C17A98" w:rsidP="00C17A98">
      <w:pPr>
        <w:pStyle w:val="a9"/>
        <w:pBdr>
          <w:bottom w:val="single" w:sz="12" w:space="0" w:color="auto"/>
        </w:pBdr>
        <w:jc w:val="center"/>
        <w:rPr>
          <w:b/>
          <w:bCs/>
          <w:sz w:val="24"/>
          <w:szCs w:val="24"/>
          <w:lang w:val="ru-RU"/>
        </w:rPr>
      </w:pPr>
    </w:p>
    <w:p w:rsidR="00C17A98" w:rsidRDefault="00C17A98" w:rsidP="00C17A98">
      <w:pPr>
        <w:autoSpaceDE w:val="0"/>
        <w:autoSpaceDN w:val="0"/>
        <w:adjustRightInd w:val="0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</w:t>
      </w: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от  </w:t>
      </w:r>
      <w:r w:rsidR="00CA5D87">
        <w:t xml:space="preserve">      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г. Тейково </w:t>
      </w:r>
    </w:p>
    <w:p w:rsidR="00C17A98" w:rsidRDefault="00C17A98" w:rsidP="00C17A98"/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</w:r>
    </w:p>
    <w:p w:rsidR="00C17A98" w:rsidRDefault="00C17A98" w:rsidP="00C17A98">
      <w:pPr>
        <w:autoSpaceDE w:val="0"/>
        <w:autoSpaceDN w:val="0"/>
        <w:adjustRightInd w:val="0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jc w:val="both"/>
      </w:pPr>
    </w:p>
    <w:p w:rsidR="00C17A98" w:rsidRDefault="00C17A98" w:rsidP="00C17A98">
      <w:pPr>
        <w:autoSpaceDE w:val="0"/>
        <w:autoSpaceDN w:val="0"/>
        <w:adjustRightInd w:val="0"/>
        <w:jc w:val="both"/>
      </w:pPr>
    </w:p>
    <w:p w:rsidR="00C17A98" w:rsidRDefault="00C17A98" w:rsidP="00C17A98">
      <w:pPr>
        <w:autoSpaceDE w:val="0"/>
        <w:autoSpaceDN w:val="0"/>
        <w:adjustRightInd w:val="0"/>
        <w:jc w:val="both"/>
      </w:pPr>
      <w:r>
        <w:tab/>
        <w:t>В соответствии с Бюджетным кодексом Российской Федерации, постановлением администрации Тейковского муниципального района от 01.10.2013г. №523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 администрация 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both"/>
      </w:pP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ПОСТАНОВЛЯЕТ:</w:t>
      </w:r>
    </w:p>
    <w:p w:rsidR="00C17A98" w:rsidRDefault="00C17A98" w:rsidP="00C17A98">
      <w:pPr>
        <w:pStyle w:val="af"/>
        <w:jc w:val="both"/>
      </w:pPr>
    </w:p>
    <w:p w:rsidR="00C17A98" w:rsidRDefault="00C17A98" w:rsidP="00C17A98">
      <w:pPr>
        <w:pStyle w:val="af"/>
        <w:jc w:val="both"/>
      </w:pPr>
      <w:r>
        <w:tab/>
        <w:t>Внести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 следующие изменения:</w:t>
      </w:r>
    </w:p>
    <w:p w:rsidR="00C17A98" w:rsidRDefault="00C17A98" w:rsidP="00C17A98">
      <w:pPr>
        <w:pStyle w:val="af"/>
        <w:numPr>
          <w:ilvl w:val="0"/>
          <w:numId w:val="2"/>
        </w:numPr>
        <w:jc w:val="both"/>
      </w:pPr>
      <w:r>
        <w:t>В приложении к постановлению:</w:t>
      </w:r>
    </w:p>
    <w:p w:rsidR="00C17A98" w:rsidRDefault="00C17A98" w:rsidP="00C17A98">
      <w:pPr>
        <w:pStyle w:val="af0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ind w:left="0" w:firstLine="795"/>
        <w:jc w:val="both"/>
      </w:pPr>
      <w:r>
        <w:t>Раздел «1. Паспорт муниципальной программы Тейковского муниципального района «Культура Тейковского муниципального района» изложить в новой редакции согласно приложению 1.</w:t>
      </w:r>
    </w:p>
    <w:p w:rsidR="00C17A98" w:rsidRDefault="00C17A98" w:rsidP="00C17A98">
      <w:pPr>
        <w:pStyle w:val="af0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ind w:left="0" w:firstLine="795"/>
        <w:jc w:val="both"/>
      </w:pPr>
      <w:r>
        <w:t>Раздел «3. Цель (цели) и ожидаемые результаты реализации Программы» изложить в новой редакции согласно приложению 2.</w:t>
      </w:r>
    </w:p>
    <w:p w:rsidR="00C17A98" w:rsidRDefault="00C17A98" w:rsidP="00C17A98">
      <w:pPr>
        <w:pStyle w:val="af0"/>
        <w:tabs>
          <w:tab w:val="left" w:pos="720"/>
        </w:tabs>
        <w:autoSpaceDE w:val="0"/>
        <w:autoSpaceDN w:val="0"/>
        <w:adjustRightInd w:val="0"/>
        <w:ind w:left="0" w:firstLine="795"/>
        <w:jc w:val="both"/>
      </w:pP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1.3. Таблицу раздела «5. Ресурсное обеспечение программы «Культура Тейковского муниципального района» изложить в новой редакции согласно приложению 3.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2. В приложении 1 к муниципальной программе «Культура Тейковского муниципального района»: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2.1. Раздел «2. Ожидаемые результаты реализации подпрограммы» изложить в новой редакции согласно приложению 4.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2.2. Таблицу раздела «Целевые индикаторы (показатели) реализации подпрограммы» изложить в новой редакции согласно приложению 5.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2.3. Раздел «3. Мероприятия подпрограммы» изложить в новой редакции согласно приложению 6.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 xml:space="preserve">2.4. Таблицу раздела «4. Ресурсное обеспечение мероприятий подпрограммы» изложить в новой редакции согласно приложению 7. 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3. В приложении 2 к муниципальной программе «Культура Тейковского муниципального района»:</w:t>
      </w:r>
    </w:p>
    <w:p w:rsidR="00C17A98" w:rsidRDefault="00C17A98" w:rsidP="00C17A98">
      <w:r>
        <w:lastRenderedPageBreak/>
        <w:tab/>
        <w:t>3.1. Раздел «2. Ожидаемые результаты реализации подпрограммы» изложить в новой редакции согласно приложению 8.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 xml:space="preserve">3.2. Раздел «Целевые индикаторы (показатели) реализации подпрограммы» изложить в новой редакции согласно приложению 9. 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4. В приложении 3 к муниципальной программе «Культура Тейковского муниципального района»: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4.1. Раздел «1. Паспорт подпрограммы» изложить в новой редакции согласно приложению 10.</w:t>
      </w:r>
    </w:p>
    <w:p w:rsidR="00C17A98" w:rsidRDefault="00C17A98" w:rsidP="00C17A98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</w:rPr>
      </w:pPr>
      <w:r>
        <w:tab/>
        <w:t xml:space="preserve">4.2. Таблицу раздела «Ресурсное обеспечение мероприятий подпрограммы» изложить в новой редакции согласно приложению 11.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Глава Тейковского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муниципального района                                                              С.А. Семенова</w:t>
      </w:r>
    </w:p>
    <w:p w:rsidR="00C17A98" w:rsidRDefault="00C17A98" w:rsidP="00C17A98">
      <w:pPr>
        <w:autoSpaceDE w:val="0"/>
        <w:autoSpaceDN w:val="0"/>
        <w:adjustRightInd w:val="0"/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lastRenderedPageBreak/>
        <w:t>Приложение 1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от </w:t>
      </w:r>
      <w:r w:rsidR="00CA5D87">
        <w:t xml:space="preserve"> 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  <w:rPr>
          <w:color w:val="000000"/>
        </w:rPr>
      </w:pPr>
    </w:p>
    <w:p w:rsidR="00C17A98" w:rsidRDefault="00C17A98" w:rsidP="00C17A98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olor w:val="000000"/>
        </w:rPr>
        <w:t>Муниципальная программа</w:t>
      </w: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«Культура Тейковского муниципального района»</w:t>
      </w:r>
    </w:p>
    <w:p w:rsidR="00C17A98" w:rsidRDefault="00C17A98" w:rsidP="00C17A98">
      <w:pPr>
        <w:autoSpaceDE w:val="0"/>
        <w:autoSpaceDN w:val="0"/>
        <w:adjustRightInd w:val="0"/>
        <w:rPr>
          <w:color w:val="000000"/>
        </w:rPr>
      </w:pPr>
      <w:r>
        <w:t xml:space="preserve">    </w:t>
      </w:r>
    </w:p>
    <w:p w:rsidR="00C17A98" w:rsidRDefault="00C17A98" w:rsidP="00C17A98">
      <w:pPr>
        <w:pStyle w:val="af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  <w:lang w:eastAsia="en-US"/>
        </w:rPr>
        <w:t>Паспорт муниципальной программы Тейковского муниципального района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7959"/>
      </w:tblGrid>
      <w:tr w:rsidR="00C17A98" w:rsidTr="00C17A98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rPr>
                <w:b/>
              </w:rPr>
            </w:pPr>
          </w:p>
        </w:tc>
      </w:tr>
      <w:tr w:rsidR="00C17A98" w:rsidTr="00C17A98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«Культура Тейковского муниципального района»</w:t>
            </w:r>
          </w:p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</w:p>
        </w:tc>
      </w:tr>
      <w:tr w:rsidR="00C17A98" w:rsidTr="00C17A98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реализации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2014-2021 годы</w:t>
            </w:r>
          </w:p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</w:p>
        </w:tc>
      </w:tr>
      <w:tr w:rsidR="00C17A98" w:rsidTr="00C17A98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C17A98" w:rsidTr="00C17A98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Отдел образования администрации Тейковского муниципального района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Муниципальное казенное учреждение Тейковского муниципального района «</w:t>
            </w:r>
            <w:proofErr w:type="spellStart"/>
            <w:r>
              <w:rPr>
                <w:lang w:eastAsia="en-US"/>
              </w:rPr>
              <w:t>Межпоселенческое</w:t>
            </w:r>
            <w:proofErr w:type="spellEnd"/>
            <w:r>
              <w:rPr>
                <w:lang w:eastAsia="en-US"/>
              </w:rPr>
              <w:t xml:space="preserve"> социально-культурное объединение»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МКУ ДО «</w:t>
            </w:r>
            <w:proofErr w:type="spellStart"/>
            <w:r>
              <w:rPr>
                <w:lang w:eastAsia="en-US"/>
              </w:rPr>
              <w:t>Новогоряновская</w:t>
            </w:r>
            <w:proofErr w:type="spellEnd"/>
            <w:r>
              <w:rPr>
                <w:lang w:eastAsia="en-US"/>
              </w:rPr>
              <w:t xml:space="preserve"> детская школа искусств»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Отдел градостроительства управления координации жилищно-коммунального, дорожного хозяйства и градостроительства</w:t>
            </w:r>
          </w:p>
        </w:tc>
      </w:tr>
      <w:tr w:rsidR="00C17A98" w:rsidTr="00C17A98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1. «Развитие культуры Тейковского муниципального района»</w:t>
            </w:r>
          </w:p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 «Предоставление дополнительного образования в сфере культуры и искусства»</w:t>
            </w:r>
          </w:p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3. «Сохранение, использование, популяризация и государственная охрана объектов культурного наследия (памятники истории и культуры) Тейковского муниципального района»</w:t>
            </w:r>
          </w:p>
        </w:tc>
      </w:tr>
      <w:tr w:rsidR="00C17A98" w:rsidTr="00C17A98">
        <w:trPr>
          <w:trHeight w:val="2393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1.Обеспечение права доступа граждан на доступ к культурным ценностям.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2.Развитие творческого потенциала жителей Тейковского муниципального района.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3.Создание условий для улучшения доступа населения района к культурным ценностям, информации, знаниям.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Укрепление  материально-технической базы муниципальных учреждений культуры.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5.Компьютеризация и информатизация культурного пространства Тейковского муниципального района. 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Поддержка и развитие учреждений дополнительного образования в сфере культуры.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7.Организация библиотечного обслуживания населения, комплектование и обеспечение сохранности их библиотечных фондов.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8.Обеспечение сохранности объектов культурного наследия и их современное использование.</w:t>
            </w:r>
          </w:p>
        </w:tc>
      </w:tr>
      <w:tr w:rsidR="00C17A98" w:rsidTr="00C17A98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ресурсного обеспечения </w:t>
            </w:r>
            <w:r>
              <w:rPr>
                <w:lang w:eastAsia="en-US"/>
              </w:rPr>
              <w:lastRenderedPageBreak/>
              <w:t>программы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Общий объем бюджетных ассигнований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2014г. -  8964,3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2015г. -  6740,9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2016г.-   6629,4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2017г.-   9561,4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2018г.- 17786,3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2019г. –18611,6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2020г. -  8152,5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2021г.    8152,5 тыс. рублей.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2014г. -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2015г. -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2016г. -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2017г. -   103,1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2018г. - 1361,0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2019г. -       2,5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2020г. -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2021г. -       0,0 тыс. рублей.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2014г. - 2586,5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2015г. -   687,8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2016г. -   219,9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2017г. - 1028,7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2018г. - 4376,4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2019г. – 2718,3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2020г. -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2021г. -       0,0 тыс. рублей.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2014г.-   6377,8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2015г.-   6053,1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2016г.-   6409,5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2017г.-   8429,6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2018г.- 12048,9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2019г. -15890,8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2020г. -  8152,5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2021г. -  8152,5 тыс. рублей.</w:t>
            </w:r>
          </w:p>
        </w:tc>
      </w:tr>
    </w:tbl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2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</w:t>
      </w:r>
      <w:r w:rsidR="00CA5D87">
        <w:t xml:space="preserve">                                      </w:t>
      </w:r>
      <w:r>
        <w:t xml:space="preserve">№ </w:t>
      </w:r>
    </w:p>
    <w:p w:rsidR="00C17A98" w:rsidRDefault="00C17A98" w:rsidP="00C17A98">
      <w:pPr>
        <w:tabs>
          <w:tab w:val="left" w:pos="3045"/>
          <w:tab w:val="right" w:pos="9971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C17A98" w:rsidRDefault="00C17A98" w:rsidP="00C17A98">
      <w:pPr>
        <w:pStyle w:val="af0"/>
        <w:numPr>
          <w:ilvl w:val="0"/>
          <w:numId w:val="6"/>
        </w:numPr>
        <w:tabs>
          <w:tab w:val="left" w:pos="3045"/>
          <w:tab w:val="right" w:pos="9971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Цель (цели) и ожидаемые результаты реализации Программы</w:t>
      </w:r>
    </w:p>
    <w:p w:rsidR="00C17A98" w:rsidRDefault="00C17A98" w:rsidP="00C17A98">
      <w:pPr>
        <w:autoSpaceDE w:val="0"/>
        <w:autoSpaceDN w:val="0"/>
        <w:adjustRightInd w:val="0"/>
        <w:ind w:left="720"/>
        <w:rPr>
          <w:color w:val="000000"/>
        </w:rPr>
      </w:pPr>
    </w:p>
    <w:p w:rsidR="00C17A98" w:rsidRDefault="00C17A98" w:rsidP="00C17A98">
      <w:pPr>
        <w:pStyle w:val="af0"/>
        <w:numPr>
          <w:ilvl w:val="1"/>
          <w:numId w:val="6"/>
        </w:num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Цель (цели) Программы</w:t>
      </w:r>
    </w:p>
    <w:p w:rsidR="00C17A98" w:rsidRDefault="00C17A98" w:rsidP="00C17A98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Обеспечение права граждан на доступ к культурным ценностям. </w:t>
      </w:r>
    </w:p>
    <w:p w:rsidR="00C17A98" w:rsidRDefault="00C17A98" w:rsidP="00C17A98">
      <w:pPr>
        <w:autoSpaceDE w:val="0"/>
        <w:autoSpaceDN w:val="0"/>
        <w:adjustRightInd w:val="0"/>
      </w:pPr>
      <w:r>
        <w:t xml:space="preserve">Частные цели программы: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1.Сохранение культурного и исторического наследия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lastRenderedPageBreak/>
        <w:t>2. Развитие творческого потенциала жителей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3.Создание условий для улучшения доступа населения района к культурным ценностям, информации и знаниям.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4.Укрепление материально-технической базы муниципальных учреждений культуры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5.Повышение средней заработной платы работникам культуры учреждений культуры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6.Компьютеризация и информатизация культурного пространства Тейковского муниципального</w:t>
      </w:r>
      <w:r>
        <w:rPr>
          <w:b/>
          <w:bCs/>
        </w:rPr>
        <w:t xml:space="preserve"> </w:t>
      </w:r>
      <w:r>
        <w:t xml:space="preserve">района. </w:t>
      </w:r>
    </w:p>
    <w:p w:rsidR="00C17A98" w:rsidRDefault="00C17A98" w:rsidP="00C17A98">
      <w:pPr>
        <w:autoSpaceDE w:val="0"/>
        <w:autoSpaceDN w:val="0"/>
        <w:adjustRightInd w:val="0"/>
      </w:pP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Таблица 2. Сведения о целевых индикаторах (показателях) реализации Программы</w:t>
      </w:r>
    </w:p>
    <w:tbl>
      <w:tblPr>
        <w:tblpPr w:leftFromText="180" w:rightFromText="180" w:bottomFromText="200" w:vertAnchor="text" w:horzAnchor="margin" w:tblpXSpec="center" w:tblpY="371"/>
        <w:tblOverlap w:val="never"/>
        <w:tblW w:w="0" w:type="dxa"/>
        <w:tblLayout w:type="fixed"/>
        <w:tblLook w:val="00A0" w:firstRow="1" w:lastRow="0" w:firstColumn="1" w:lastColumn="0" w:noHBand="0" w:noVBand="0"/>
      </w:tblPr>
      <w:tblGrid>
        <w:gridCol w:w="848"/>
        <w:gridCol w:w="2646"/>
        <w:gridCol w:w="885"/>
        <w:gridCol w:w="816"/>
        <w:gridCol w:w="885"/>
        <w:gridCol w:w="850"/>
        <w:gridCol w:w="851"/>
        <w:gridCol w:w="816"/>
        <w:gridCol w:w="885"/>
        <w:gridCol w:w="816"/>
        <w:gridCol w:w="850"/>
      </w:tblGrid>
      <w:tr w:rsidR="00C17A98" w:rsidTr="00C17A9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ind w:left="-111" w:firstLine="111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2014г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2015</w:t>
            </w:r>
            <w:r>
              <w:rPr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2016</w:t>
            </w:r>
            <w:r>
              <w:rPr>
                <w:lang w:eastAsia="en-US"/>
              </w:rPr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2017</w:t>
            </w:r>
            <w:r>
              <w:rPr>
                <w:lang w:eastAsia="en-US"/>
              </w:rPr>
              <w:t>г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2018</w:t>
            </w:r>
            <w:r>
              <w:rPr>
                <w:lang w:eastAsia="en-US"/>
              </w:rPr>
              <w:t>г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C17A98" w:rsidTr="00C17A98">
        <w:trPr>
          <w:trHeight w:val="1"/>
        </w:trPr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учреждений культуры, в которых осуществлены ремонтные работы, от количества учреждений, нуждающихся в ремонте и имеющих проектно-сметную документацию на его проведение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C17A98" w:rsidTr="00C17A9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учреждений культуры, в которых внедрены информационно-коммуникационные технологии для доступности информации об услугах сферы культуры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5</w:t>
            </w:r>
            <w:r>
              <w:rPr>
                <w:lang w:eastAsia="en-US"/>
              </w:rPr>
              <w:t>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C17A98" w:rsidTr="00C17A9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населения, вовлеченного в культурно-массовые и досуговые мероприятия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</w:tr>
      <w:tr w:rsidR="00C17A98" w:rsidTr="00C17A9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посетителей фестивалей, конкурсов, проектов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тысяч человек</w:t>
            </w:r>
          </w:p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1,0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2,5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3,0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</w:tr>
      <w:tr w:rsidR="00C17A98" w:rsidTr="00C17A9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работников </w:t>
            </w:r>
            <w:r>
              <w:rPr>
                <w:color w:val="000000"/>
                <w:lang w:eastAsia="en-US"/>
              </w:rPr>
              <w:lastRenderedPageBreak/>
              <w:t xml:space="preserve">сферы культуры, повысивших квалификацию и получивших методическую помощь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%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C17A98" w:rsidTr="00C17A9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6.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проведенных социально значимых мероприятий, посвященных памятным и юбилейным датам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color w:val="000000"/>
                <w:lang w:eastAsia="en-US"/>
              </w:rPr>
              <w:t>ед.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C17A98" w:rsidTr="00C17A9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Средняя заработная плата работников учреждений культуры Тейковского муниципального района Ивановской области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руб.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13099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ind w:right="-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13060,9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16947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19870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20865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</w:tr>
    </w:tbl>
    <w:p w:rsidR="00C17A98" w:rsidRDefault="00C17A98" w:rsidP="00C17A9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17A98" w:rsidRDefault="00C17A98" w:rsidP="00C17A98">
      <w:pPr>
        <w:pStyle w:val="af0"/>
        <w:numPr>
          <w:ilvl w:val="1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 Описание ожидаемых результатов реализации Программы </w:t>
      </w:r>
    </w:p>
    <w:p w:rsidR="00C17A98" w:rsidRDefault="00C17A98" w:rsidP="00C17A98">
      <w:pPr>
        <w:pStyle w:val="af0"/>
        <w:autoSpaceDE w:val="0"/>
        <w:autoSpaceDN w:val="0"/>
        <w:adjustRightInd w:val="0"/>
        <w:ind w:left="840"/>
        <w:rPr>
          <w:color w:val="000000"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Реализация настоящей программы позволит: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1. Сохранить творческий потенциал района. Обеспечить полноценную поддержку и развитие профессионального мастерства молодых дарований, что будет выражаться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: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повышении</w:t>
      </w:r>
      <w:proofErr w:type="gramEnd"/>
      <w:r>
        <w:rPr>
          <w:color w:val="000000"/>
        </w:rPr>
        <w:t xml:space="preserve"> престижа творческих профессий;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обновлении</w:t>
      </w:r>
      <w:proofErr w:type="gramEnd"/>
      <w:r>
        <w:rPr>
          <w:color w:val="000000"/>
        </w:rPr>
        <w:t xml:space="preserve"> творческих коллективов, профессиональном росте творческой молодежи.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2. Сохранить культурное и историческое наследие, что будет выражаться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: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реставрации и регенерации объектов культурного наследия (памятников истории и культуры) Тейковского муниципального района и их территорий;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широком </w:t>
      </w:r>
      <w:proofErr w:type="gramStart"/>
      <w:r>
        <w:rPr>
          <w:color w:val="000000"/>
        </w:rPr>
        <w:t>спектре</w:t>
      </w:r>
      <w:proofErr w:type="gramEnd"/>
      <w:r>
        <w:rPr>
          <w:color w:val="000000"/>
        </w:rPr>
        <w:t xml:space="preserve"> услуг, предоставляемых  библиотеками;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 включенности  библиотек в информационный процесс;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- </w:t>
      </w:r>
      <w:proofErr w:type="gramStart"/>
      <w:r>
        <w:t>сохранении</w:t>
      </w:r>
      <w:proofErr w:type="gramEnd"/>
      <w:r>
        <w:t xml:space="preserve"> и доступности традиционных народных художественных промыслов и историко-природной среды для широких слоев населения;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- </w:t>
      </w:r>
      <w:proofErr w:type="gramStart"/>
      <w:r>
        <w:t>возникновении</w:t>
      </w:r>
      <w:proofErr w:type="gramEnd"/>
      <w:r>
        <w:t xml:space="preserve"> новых направлений развития культуры;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- сохранности  библиотечных фондов.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3. Обеспечить доступ населения области к культурным ценностям, информации и знаниям, что будет выражаться </w:t>
      </w:r>
      <w:proofErr w:type="gramStart"/>
      <w:r>
        <w:t>в</w:t>
      </w:r>
      <w:proofErr w:type="gramEnd"/>
      <w:r>
        <w:t xml:space="preserve">: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- качественно новой системе информационно-библиотечного обслуживания населения Тейковского муниципального района;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- модернизации деятельности библиотек; 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- </w:t>
      </w:r>
      <w:proofErr w:type="gramStart"/>
      <w:r>
        <w:t>комплектовании</w:t>
      </w:r>
      <w:proofErr w:type="gramEnd"/>
      <w:r>
        <w:t xml:space="preserve"> и каталогизации библиотечных фондов на основе электронных информационных ресурсов;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создании</w:t>
      </w:r>
      <w:proofErr w:type="gramEnd"/>
      <w:r>
        <w:rPr>
          <w:color w:val="000000"/>
        </w:rPr>
        <w:t xml:space="preserve"> модельных учреждений культуры (библиотек, клубов), способных оказывать услуги населению высокого потребительского качества.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4. Участвовать исполнителям и коллективам Тейковского муниципального района в межрегиональных, общероссийских и международных культурных обменах, что будет выражаться в проведение и участии в различных фестивалях, конкурсах, смотрах.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 Обеспечить повышение средней заработной платы работникам культуры до средней заработной платы в сфере культуры в Ивановской области.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Модернизировать учреждения и объекты культуры, что будет выражаться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: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реконструкции домов культуры, проведении капитального ремонта клубных учреждений;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реконструкции объектов, имеющих статус памятников истории и архитектуры;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оснащение библиотек, домов культуры новым современным оборудованием, музыкальными инструментами, </w:t>
      </w:r>
      <w:proofErr w:type="spellStart"/>
      <w:r>
        <w:rPr>
          <w:color w:val="000000"/>
        </w:rPr>
        <w:t>звукоусилительной</w:t>
      </w:r>
      <w:proofErr w:type="spellEnd"/>
      <w:r>
        <w:rPr>
          <w:color w:val="000000"/>
        </w:rPr>
        <w:t xml:space="preserve"> и световой аппаратурой;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широком </w:t>
      </w:r>
      <w:proofErr w:type="gramStart"/>
      <w:r>
        <w:rPr>
          <w:color w:val="000000"/>
        </w:rPr>
        <w:t>внедрении</w:t>
      </w:r>
      <w:proofErr w:type="gramEnd"/>
      <w:r>
        <w:rPr>
          <w:color w:val="000000"/>
        </w:rPr>
        <w:t xml:space="preserve"> информационных технологий в сфере культуры;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непрерывном </w:t>
      </w:r>
      <w:proofErr w:type="gramStart"/>
      <w:r>
        <w:rPr>
          <w:color w:val="000000"/>
        </w:rPr>
        <w:t>комплектовании</w:t>
      </w:r>
      <w:proofErr w:type="gramEnd"/>
      <w:r>
        <w:rPr>
          <w:color w:val="000000"/>
        </w:rPr>
        <w:t xml:space="preserve"> библиотек.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Как следствие, ожидаемыми результатами реализации программы станут: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рост качества услуг в сфере культуры;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сохранение культурного наследия и вовлечение его в социально-культурные процессы;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преодоление технической отсталости культурно-досуговых учреждений;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увеличение доли одаренных детей, реализующих себя в творчестве;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рост числа участников и посетителей фестивалей, конкурсов, культурных проектов, социально значимых мероприятий. </w:t>
      </w:r>
    </w:p>
    <w:p w:rsidR="00C17A98" w:rsidRDefault="00C17A98" w:rsidP="00C17A98">
      <w:pPr>
        <w:pStyle w:val="Pro-Gramma"/>
        <w:spacing w:before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Реализация программы позволит повысить качество предоставляемых </w:t>
      </w:r>
      <w:r>
        <w:rPr>
          <w:rFonts w:ascii="Times New Roman" w:hAnsi="Times New Roman"/>
          <w:sz w:val="24"/>
          <w:szCs w:val="24"/>
        </w:rPr>
        <w:t xml:space="preserve">учреждениями культуры услуг, привлечь в учреждения культуры новых посетителей, проводить мероприятия на качественно новом уровне. Увеличение </w:t>
      </w:r>
      <w:proofErr w:type="gramStart"/>
      <w:r>
        <w:rPr>
          <w:rFonts w:ascii="Times New Roman" w:hAnsi="Times New Roman"/>
          <w:sz w:val="24"/>
          <w:szCs w:val="24"/>
        </w:rPr>
        <w:t>уровня оплаты труда работников культуры</w:t>
      </w:r>
      <w:proofErr w:type="gramEnd"/>
      <w:r>
        <w:rPr>
          <w:rFonts w:ascii="Times New Roman" w:hAnsi="Times New Roman"/>
          <w:sz w:val="24"/>
          <w:szCs w:val="24"/>
        </w:rPr>
        <w:t xml:space="preserve"> является базовым инструментом, призванным поднять престиж профессии работника культуры, обеспечить приток квалифицированных кадров в учреждения культуры. </w:t>
      </w:r>
    </w:p>
    <w:p w:rsidR="00C17A98" w:rsidRDefault="00C17A98" w:rsidP="00C17A9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3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 </w:t>
      </w:r>
      <w:r w:rsidR="00CA5D87">
        <w:t xml:space="preserve">   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pStyle w:val="af"/>
        <w:ind w:firstLine="708"/>
        <w:jc w:val="center"/>
        <w:rPr>
          <w:b/>
        </w:rPr>
      </w:pPr>
      <w:r>
        <w:rPr>
          <w:b/>
          <w:bCs/>
        </w:rPr>
        <w:t xml:space="preserve">5. Ресурсное обеспечение  программы «Культура </w:t>
      </w:r>
      <w:r>
        <w:rPr>
          <w:b/>
        </w:rPr>
        <w:t>Тейковского муниципального района»</w:t>
      </w:r>
    </w:p>
    <w:p w:rsidR="00C17A98" w:rsidRDefault="00C17A98" w:rsidP="00C17A98">
      <w:pPr>
        <w:jc w:val="right"/>
      </w:pPr>
      <w:r>
        <w:t xml:space="preserve">         тыс. руб.</w:t>
      </w:r>
    </w:p>
    <w:tbl>
      <w:tblPr>
        <w:tblW w:w="0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992"/>
        <w:gridCol w:w="993"/>
        <w:gridCol w:w="992"/>
        <w:gridCol w:w="992"/>
        <w:gridCol w:w="992"/>
        <w:gridCol w:w="1134"/>
        <w:gridCol w:w="993"/>
        <w:gridCol w:w="962"/>
      </w:tblGrid>
      <w:tr w:rsidR="00C17A98" w:rsidTr="00C17A98">
        <w:trPr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№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подпрограммы / Источник ресурсного обеспечения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2014г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2015г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8964,3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6740,9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6629,4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9561,4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17786,3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18611,6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8152,5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8964,3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6740,9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6629,4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9561,4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17786,3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18611,6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8152,5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2586,5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4376,4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2718,3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6377,8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6053,1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6409,5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8429,6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12048,9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15890,8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8152,5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8152,5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12196,8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7226,7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12196,8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1361,0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2251,5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4121,1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2408,5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4975,2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6913,8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6714,7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7698,0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Подпрограмма «Предоставление дополнительного образования в сфере культуры и искусства»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1889,5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1497,8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1737,6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1675,4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1492,5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1889,5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1784,0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1497,8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346,1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1402,6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1329,3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1515,8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1634,2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1474,2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1497,8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1497,8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«Сохранение, использование, популяризация и государственная охрана объектов культурного наследи</w:t>
            </w:r>
            <w:proofErr w:type="gramStart"/>
            <w:r>
              <w:rPr>
                <w:lang w:eastAsia="en-US"/>
              </w:rPr>
              <w:t>я(</w:t>
            </w:r>
            <w:proofErr w:type="gramEnd"/>
            <w:r>
              <w:rPr>
                <w:lang w:eastAsia="en-US"/>
              </w:rPr>
              <w:t xml:space="preserve">памятники истории и культуры) Тейковского муниципального района»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4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</w:t>
      </w:r>
      <w:r w:rsidR="00CA5D87">
        <w:t xml:space="preserve">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</w:pPr>
    </w:p>
    <w:p w:rsidR="00C17A98" w:rsidRDefault="00C17A98" w:rsidP="00C17A98">
      <w:pPr>
        <w:pStyle w:val="af0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Ожидаемые результаты реализации подпрограммы</w:t>
      </w:r>
    </w:p>
    <w:p w:rsidR="00C17A98" w:rsidRDefault="00C17A98" w:rsidP="00C17A98">
      <w:pPr>
        <w:pStyle w:val="af0"/>
        <w:autoSpaceDE w:val="0"/>
        <w:autoSpaceDN w:val="0"/>
        <w:adjustRightInd w:val="0"/>
        <w:rPr>
          <w:b/>
          <w:bCs/>
          <w:color w:val="000000"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 xml:space="preserve">Целью подпрограммы является развитие новых форм культурного досуга. В ходе реализации подпрограммы планируется обеспечить прирост численности участников платных и бесплатных культурно-досуговых мероприятий с 18% (в 2012 году) до 55% к 2021 году. Увеличение числа тех, кто вовлечен в сферу культурного досуга, сделает их жизнь интересней, насыщенной богатыми эмоциональными переживаниями, повысит их жизненный настрой. 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В первую очередь, развитие новых форм культурного досуга должно быть достигнуто на уровне муниципальных учреждений культуры. В ходе реализации подпрограммы планируется увеличить общее количество мероприятий, проводимых в муниципальных культурно-досуговых учреждениях. 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Реализация подпрограммы в 2014 – 2021 годах предполагает: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1) Повышение качества услуг обслуживания населения Тейковского муниципального района;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2) Укрепление материально-технической базы и создание условий для безопасного пребывания посетителей в зданиях учреждений культуры;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lastRenderedPageBreak/>
        <w:t xml:space="preserve"> 3) Сохранение объектов культурного наследия, разработка и утверждение зон охраны и территорий объектов культурного наследия;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 4) Увеличение количества посетителей фестивалей, конкурсов, культурных проектов, социально-значимых мероприятий;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 5) Увеличение доступности населению Тейковского муниципального района информации о деятельности учреждений сферы культуры посредством использования информационных технологий;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 6) Обеспечение доступа населения к электронному каталогу объектов культурного наследия и Своду памятников истории и культуры Тейковского муниципального района;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 xml:space="preserve"> 7) Сохранение культурного потенциала отрасли за счет обеспечения непрерывного процесса переподготовки кадров и повышения их квалификации;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8) Повышение средней заработной платы работникам культуры до средней заработной платы в сфере культуры в Ивановской области.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Ожидаемые целевые показатели реализации подпрограммы представлены в нижеследующей таблице.</w:t>
      </w: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5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</w:t>
      </w:r>
      <w:r w:rsidR="00CA5D87">
        <w:t xml:space="preserve">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</w:rPr>
        <w:t>Целевые индикаторы (показатели) реализации подпрограммы</w:t>
      </w:r>
    </w:p>
    <w:tbl>
      <w:tblPr>
        <w:tblW w:w="0" w:type="dxa"/>
        <w:tblInd w:w="-712" w:type="dxa"/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17A98" w:rsidTr="00C17A9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2017</w:t>
            </w:r>
            <w:r>
              <w:rPr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2018</w:t>
            </w:r>
            <w:r>
              <w:rPr>
                <w:lang w:eastAsia="en-US"/>
              </w:rPr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C17A98" w:rsidTr="00C17A9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учреждений культуры, в которых осуществлены ремонтные работы, от количества учреждений, нуждающихся в ремонте и имеющих проектно-сметную документацию на его проведение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C17A98" w:rsidTr="00C17A9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учреждений культуры, в </w:t>
            </w:r>
            <w:r>
              <w:rPr>
                <w:lang w:eastAsia="en-US"/>
              </w:rPr>
              <w:lastRenderedPageBreak/>
              <w:t>которых внедрены информационно-коммуникационные технологии для доступности информации об услугах сферы культуры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C17A98" w:rsidTr="00C17A9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населения, вовлеченного в культурно-массовые и досуговые мероприятия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</w:tr>
      <w:tr w:rsidR="00C17A98" w:rsidTr="00C17A9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работников сферы культуры, </w:t>
            </w:r>
          </w:p>
          <w:p w:rsidR="00C17A98" w:rsidRDefault="00C17A98">
            <w:pPr>
              <w:pStyle w:val="af"/>
              <w:spacing w:line="276" w:lineRule="auto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повысивших</w:t>
            </w:r>
            <w:proofErr w:type="gramEnd"/>
            <w:r>
              <w:rPr>
                <w:color w:val="000000"/>
                <w:lang w:eastAsia="en-US"/>
              </w:rPr>
              <w:t xml:space="preserve"> квалификацию 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 </w:t>
            </w:r>
            <w:proofErr w:type="gramStart"/>
            <w:r>
              <w:rPr>
                <w:color w:val="000000"/>
                <w:lang w:eastAsia="en-US"/>
              </w:rPr>
              <w:t>получивших</w:t>
            </w:r>
            <w:proofErr w:type="gramEnd"/>
            <w:r>
              <w:rPr>
                <w:color w:val="000000"/>
                <w:lang w:eastAsia="en-US"/>
              </w:rPr>
              <w:t xml:space="preserve"> методическую помощь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C17A98" w:rsidTr="00C17A9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проведенных социально значимых мероприятий, посвященных памятным и юбилейным датам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C17A98" w:rsidTr="00C17A9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pStyle w:val="af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Средняя заработная плата работников учреждений культуры Тейковского муниципального района Ивановской области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ind w:right="-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13060,9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20865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</w:tr>
    </w:tbl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6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</w:t>
      </w:r>
      <w:r w:rsidR="00CA5D87">
        <w:t xml:space="preserve">     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pStyle w:val="af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3.Мероприятия подпрограммы</w:t>
      </w: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 xml:space="preserve">Реализация подпрограммы предполагает выполнение следующих мероприятий: оказание муниципальной услуги "Организации досуга и обеспечение населения услугами организаций культуры». 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Реализация подпрограммы предполагает выполнение следующих мероприятий: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-создание условий для повышения качества и разнообразия услуг, предоставляемых в сфере культуры Тейковского муниципального района;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-поддержка инновационных культурных проектов (фестивали, конкурсы, районные мероприятия), библиотечного дела;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-проведение мероприятий в рамках празднования памятных дат в истории и культуре России, Ивановкой области и Тейковского муниципального района;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-внедрение инновационных технологий и информатизация муниципальных учреждений культуры;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-сохранение объектов культурного наследия (памятники истории и культуры);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lastRenderedPageBreak/>
        <w:t>-поддержка народного творчества Тейковского муниципального района;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  -</w:t>
      </w:r>
      <w:r>
        <w:rPr>
          <w:color w:val="000000"/>
        </w:rPr>
        <w:t>повышение средней заработной платы работникам культуры до средней заработной платы в сфере культуры в Ивановской области.</w:t>
      </w: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</w:p>
    <w:p w:rsidR="00C17A98" w:rsidRDefault="00C17A98" w:rsidP="00C17A98">
      <w:pPr>
        <w:widowControl w:val="0"/>
        <w:autoSpaceDE w:val="0"/>
        <w:autoSpaceDN w:val="0"/>
        <w:adjustRightInd w:val="0"/>
        <w:ind w:firstLine="708"/>
        <w:jc w:val="both"/>
      </w:pPr>
      <w:r>
        <w:t>Исполнителем мероприятий подпрограммы выступает отдел культуры, туризма, молодежной и социальной политики администрации Тейковского муниципального района, Муниципальное казенное учреждение Тейковского муниципального района «</w:t>
      </w:r>
      <w:proofErr w:type="spellStart"/>
      <w:r>
        <w:t>Межпоселенческое</w:t>
      </w:r>
      <w:proofErr w:type="spellEnd"/>
      <w:r>
        <w:t xml:space="preserve"> социально-культурное объединение» </w:t>
      </w:r>
    </w:p>
    <w:p w:rsidR="00C17A98" w:rsidRDefault="00C17A98" w:rsidP="00C17A98">
      <w:pPr>
        <w:widowControl w:val="0"/>
        <w:autoSpaceDE w:val="0"/>
        <w:autoSpaceDN w:val="0"/>
        <w:adjustRightInd w:val="0"/>
        <w:ind w:firstLine="708"/>
      </w:pPr>
      <w:r>
        <w:t>Срок реализации мероприятий 2014-2021 гг.</w:t>
      </w: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7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от  </w:t>
      </w:r>
      <w:r w:rsidR="00CA5D87">
        <w:t xml:space="preserve">                                       </w:t>
      </w:r>
      <w:r>
        <w:t xml:space="preserve">№ </w:t>
      </w:r>
    </w:p>
    <w:p w:rsidR="00C17A98" w:rsidRDefault="00C17A98" w:rsidP="00C17A98">
      <w:pPr>
        <w:keepNext/>
        <w:autoSpaceDE w:val="0"/>
        <w:autoSpaceDN w:val="0"/>
        <w:adjustRightInd w:val="0"/>
        <w:rPr>
          <w:b/>
          <w:bCs/>
        </w:rPr>
      </w:pPr>
    </w:p>
    <w:p w:rsidR="00C17A98" w:rsidRDefault="00C17A98" w:rsidP="00C17A98">
      <w:pPr>
        <w:pStyle w:val="3"/>
        <w:spacing w:before="0" w:after="0"/>
        <w:ind w:left="720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4. Ресурсное обеспечение мероприятий подпрограммы</w:t>
      </w:r>
    </w:p>
    <w:p w:rsidR="00C17A98" w:rsidRDefault="00C17A98" w:rsidP="00C17A98">
      <w:pPr>
        <w:jc w:val="right"/>
      </w:pPr>
      <w:r>
        <w:t>тыс. руб.</w:t>
      </w:r>
    </w:p>
    <w:tbl>
      <w:tblPr>
        <w:tblW w:w="0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709"/>
        <w:gridCol w:w="858"/>
        <w:gridCol w:w="851"/>
        <w:gridCol w:w="992"/>
        <w:gridCol w:w="992"/>
        <w:gridCol w:w="992"/>
        <w:gridCol w:w="993"/>
        <w:gridCol w:w="850"/>
      </w:tblGrid>
      <w:tr w:rsidR="00C17A98" w:rsidTr="00C17A98">
        <w:trPr>
          <w:trHeight w:val="20"/>
          <w:tblHeader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Наименование подпрограммы / </w:t>
            </w:r>
            <w:r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2014г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2015г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2016г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2017г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«Развитие культуры Тейковского муниципального района»/всего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7226,7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7226,7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5136,9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7967,5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12196,8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2251,5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4121,1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2408,5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4975,2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4723,8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6913,8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6714,7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7698,0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6654,7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4437,3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4790,1</w:t>
            </w: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4790,1</w:t>
            </w: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4437,3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4790,1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4790,1</w:t>
            </w: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4437,3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4054,9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5061,2</w:t>
            </w: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4790,1</w:t>
            </w: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4790,1</w:t>
            </w:r>
          </w:p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учреждений культуры  за счет иных источников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расходов, связанных с поэтапным доведением средней  заработной </w:t>
            </w:r>
            <w:proofErr w:type="gramStart"/>
            <w:r>
              <w:rPr>
                <w:lang w:eastAsia="en-US"/>
              </w:rPr>
              <w:t>платы работникам культуры  муниципальных учреждений культуры Ивановской области</w:t>
            </w:r>
            <w:proofErr w:type="gramEnd"/>
            <w:r>
              <w:rPr>
                <w:lang w:eastAsia="en-US"/>
              </w:rPr>
              <w:t xml:space="preserve"> до средней заработной платы в Ивановской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325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651,5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860,2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2042,8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2141,2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средней заработной платы отдельным  категориям  работников учреждений культуры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Расходы, связанные с поэтапным доведением средней заработной платы 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Выпуск печатных изданий поэтов и писателей Тейковского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106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1849,6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комплектование книжных фондов библиотек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Государственная поддержка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на государственную поддержку муниципальных учреждений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4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в 2018 году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1371,7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2.6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Укрепление материально-технической базы муниципальных учреждений культуры Ивановской области в 2018 году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на укрепление материально-технической базы муниципальных учреждений культуры Ивановской области в 2018 году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доведение заработной платы работников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МРОТ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215,9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повышение заработной платы работников бюджетной сферы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3.0.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 на пополнение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139,8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139,8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17A98" w:rsidRDefault="00C17A98" w:rsidP="00C17A98">
      <w:pPr>
        <w:pStyle w:val="af"/>
      </w:pPr>
    </w:p>
    <w:p w:rsidR="00C17A98" w:rsidRDefault="00C17A98" w:rsidP="00C17A98">
      <w:pPr>
        <w:pStyle w:val="af"/>
      </w:pPr>
    </w:p>
    <w:p w:rsidR="00C17A98" w:rsidRDefault="00C17A98" w:rsidP="00C17A98">
      <w:pPr>
        <w:pStyle w:val="af"/>
        <w:rPr>
          <w:sz w:val="28"/>
          <w:szCs w:val="28"/>
        </w:rPr>
      </w:pPr>
    </w:p>
    <w:p w:rsidR="00C17A98" w:rsidRDefault="00C17A98" w:rsidP="00C17A98">
      <w:pPr>
        <w:pStyle w:val="af"/>
        <w:rPr>
          <w:sz w:val="28"/>
          <w:szCs w:val="28"/>
        </w:rPr>
      </w:pPr>
    </w:p>
    <w:p w:rsidR="00C17A98" w:rsidRDefault="00C17A98" w:rsidP="00C17A98">
      <w:pPr>
        <w:pStyle w:val="af"/>
        <w:rPr>
          <w:sz w:val="28"/>
          <w:szCs w:val="28"/>
        </w:rPr>
      </w:pPr>
    </w:p>
    <w:p w:rsidR="00C17A98" w:rsidRDefault="00C17A98" w:rsidP="00C17A98">
      <w:pPr>
        <w:pStyle w:val="af"/>
        <w:rPr>
          <w:sz w:val="28"/>
          <w:szCs w:val="28"/>
        </w:rPr>
      </w:pPr>
    </w:p>
    <w:p w:rsidR="00C17A98" w:rsidRDefault="00C17A98" w:rsidP="00C17A98">
      <w:pPr>
        <w:pStyle w:val="af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8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</w:t>
      </w:r>
      <w:r w:rsidR="00CA5D87">
        <w:t xml:space="preserve">      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</w:pPr>
    </w:p>
    <w:p w:rsidR="00C17A98" w:rsidRDefault="00C17A98" w:rsidP="00C17A98">
      <w:pPr>
        <w:pStyle w:val="af"/>
        <w:jc w:val="center"/>
        <w:rPr>
          <w:b/>
        </w:rPr>
      </w:pPr>
    </w:p>
    <w:p w:rsidR="00C17A98" w:rsidRDefault="00C17A98" w:rsidP="00C17A98">
      <w:pPr>
        <w:pStyle w:val="af0"/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Ожидаемые результаты реализации подпрограммы</w:t>
      </w: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ind w:firstLine="708"/>
        <w:jc w:val="both"/>
      </w:pPr>
      <w:r>
        <w:t>Реализация подпрограммы в 2014 – 2021 годах предполагает: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 расширение знаний учащихся;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  развитие творческих способностей учащихся;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  самореализацию и самовоспитание учащихся;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  создание условий для непрерывного дополнительного образования детей в соответствии с их интересами и потребностями;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 организацию содержательного досуга и занятости учащихся;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-результаты участия учащихся в фестивалях, выставках, конкурсах различного уровня;</w:t>
      </w:r>
    </w:p>
    <w:p w:rsidR="00C17A98" w:rsidRDefault="00C17A98" w:rsidP="00C17A98">
      <w:pPr>
        <w:autoSpaceDE w:val="0"/>
        <w:autoSpaceDN w:val="0"/>
        <w:adjustRightInd w:val="0"/>
        <w:jc w:val="both"/>
      </w:pPr>
      <w:r>
        <w:t>- повышение средней заработной платы работникам дополнительного образования в сфере культуры и искусства Тейковского муниципального</w:t>
      </w:r>
      <w:r>
        <w:rPr>
          <w:b/>
          <w:bCs/>
        </w:rPr>
        <w:t xml:space="preserve"> </w:t>
      </w:r>
      <w:r>
        <w:t>района.</w:t>
      </w:r>
    </w:p>
    <w:p w:rsidR="00C17A98" w:rsidRDefault="00C17A98" w:rsidP="00C17A98">
      <w:pPr>
        <w:autoSpaceDE w:val="0"/>
        <w:autoSpaceDN w:val="0"/>
        <w:adjustRightInd w:val="0"/>
        <w:jc w:val="both"/>
      </w:pPr>
    </w:p>
    <w:p w:rsidR="00C17A98" w:rsidRDefault="00C17A98" w:rsidP="00C17A98">
      <w:pPr>
        <w:autoSpaceDE w:val="0"/>
        <w:autoSpaceDN w:val="0"/>
        <w:adjustRightInd w:val="0"/>
        <w:jc w:val="both"/>
      </w:pPr>
    </w:p>
    <w:p w:rsidR="00C17A98" w:rsidRDefault="00C17A98" w:rsidP="00C17A98">
      <w:pPr>
        <w:autoSpaceDE w:val="0"/>
        <w:autoSpaceDN w:val="0"/>
        <w:adjustRightInd w:val="0"/>
        <w:jc w:val="both"/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9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от   </w:t>
      </w:r>
      <w:r w:rsidR="00CA5D87">
        <w:t xml:space="preserve">       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  <w:jc w:val="both"/>
        <w:rPr>
          <w:b/>
          <w:bCs/>
        </w:rPr>
      </w:pP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Целевые индикаторы (показатели) реализации подпрограммы</w:t>
      </w:r>
    </w:p>
    <w:p w:rsidR="00C17A98" w:rsidRDefault="00C17A98" w:rsidP="00C17A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dxa"/>
        <w:tblInd w:w="-429" w:type="dxa"/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992"/>
        <w:gridCol w:w="851"/>
        <w:gridCol w:w="850"/>
        <w:gridCol w:w="851"/>
        <w:gridCol w:w="850"/>
        <w:gridCol w:w="851"/>
        <w:gridCol w:w="992"/>
        <w:gridCol w:w="851"/>
        <w:gridCol w:w="915"/>
      </w:tblGrid>
      <w:tr w:rsidR="00C17A98" w:rsidTr="00C17A9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2018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2021г</w:t>
            </w:r>
          </w:p>
        </w:tc>
      </w:tr>
      <w:tr w:rsidR="00C17A98" w:rsidTr="00C17A98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eastAsia="en-US"/>
              </w:rPr>
              <w:t>Количество учащихся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  <w:tr w:rsidR="00C17A98" w:rsidTr="00C17A98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lang w:eastAsia="en-US"/>
              </w:rPr>
              <w:t>Количество участия в фестивалях, конкурсах</w:t>
            </w:r>
            <w:r>
              <w:rPr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val="en-US"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C17A98" w:rsidTr="00C17A98">
        <w:trPr>
          <w:trHeight w:val="1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Средняя заработная плата работников дополнительного образования в сфере культуры и искусства Тейковского муниципального </w:t>
            </w:r>
            <w:r>
              <w:rPr>
                <w:lang w:eastAsia="en-US"/>
              </w:rPr>
              <w:lastRenderedPageBreak/>
              <w:t>района Ивановской области</w:t>
            </w:r>
            <w:r>
              <w:rPr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22574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17A98" w:rsidRDefault="00C17A98">
            <w:pPr>
              <w:autoSpaceDE w:val="0"/>
              <w:autoSpaceDN w:val="0"/>
              <w:adjustRightInd w:val="0"/>
              <w:spacing w:line="254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22574</w:t>
            </w:r>
          </w:p>
        </w:tc>
      </w:tr>
    </w:tbl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 10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</w:t>
      </w:r>
      <w:r w:rsidR="00CA5D87">
        <w:t xml:space="preserve">                                </w:t>
      </w:r>
      <w:r>
        <w:t xml:space="preserve">№ </w:t>
      </w:r>
    </w:p>
    <w:p w:rsidR="00C17A98" w:rsidRDefault="00C17A98" w:rsidP="00C17A98">
      <w:pPr>
        <w:autoSpaceDE w:val="0"/>
        <w:autoSpaceDN w:val="0"/>
        <w:adjustRightInd w:val="0"/>
      </w:pPr>
    </w:p>
    <w:p w:rsidR="00C17A98" w:rsidRDefault="00C17A98" w:rsidP="00C17A98">
      <w:pPr>
        <w:pStyle w:val="af"/>
        <w:numPr>
          <w:ilvl w:val="0"/>
          <w:numId w:val="12"/>
        </w:numPr>
        <w:jc w:val="center"/>
        <w:rPr>
          <w:b/>
        </w:rPr>
      </w:pPr>
      <w:r>
        <w:rPr>
          <w:b/>
        </w:rPr>
        <w:t>Паспорт подпрограммы</w:t>
      </w:r>
    </w:p>
    <w:p w:rsidR="00C17A98" w:rsidRDefault="00C17A98" w:rsidP="00C17A98">
      <w:pPr>
        <w:pStyle w:val="af"/>
        <w:ind w:left="1080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972"/>
      </w:tblGrid>
      <w:tr w:rsidR="00C17A98" w:rsidTr="00C17A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«Сохранение, использование, популяризация  и государственная охрана объектов культурного наследия (памятников истории и культуры) Тейковского муниципального района»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</w:tr>
      <w:tr w:rsidR="00C17A98" w:rsidTr="00C17A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реализации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2018-2021 годы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</w:tr>
      <w:tr w:rsidR="00C17A98" w:rsidTr="00C17A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Администрация Тейковского муниципального района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Отдел градостроительства управления координации жилищно-коммунального, дорожного хозяйства и градостроительства</w:t>
            </w:r>
          </w:p>
        </w:tc>
      </w:tr>
      <w:tr w:rsidR="00C17A98" w:rsidTr="00C17A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Обеспечение сохранности объектов культурного наследия и их современное использование:</w:t>
            </w:r>
          </w:p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изучение и учет объектов культурного наследия;</w:t>
            </w:r>
          </w:p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обеспечение сохранности объектов культурного наследия;</w:t>
            </w:r>
          </w:p>
          <w:p w:rsidR="00C17A98" w:rsidRDefault="00C17A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популяризация объектов культурного наследия</w:t>
            </w:r>
          </w:p>
        </w:tc>
      </w:tr>
      <w:tr w:rsidR="00C17A98" w:rsidTr="00C17A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ресурсного </w:t>
            </w:r>
            <w:r>
              <w:rPr>
                <w:lang w:eastAsia="en-US"/>
              </w:rPr>
              <w:lastRenderedPageBreak/>
              <w:t>обеспечения подпрограммы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Общий объем бюджетных ассигнований: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3700,0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2019 г. – 6718,6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г. -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2021г. -        0,0 тыс. рублей.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г.  -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г. -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 г. -       0,0 тыс. рублей.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г.  -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г. - 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2021г. -         0,0 тыс. рублей.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lang w:eastAsia="en-US"/>
                </w:rPr>
                <w:t>2018 г</w:t>
              </w:r>
            </w:smartTag>
            <w:r>
              <w:rPr>
                <w:lang w:eastAsia="en-US"/>
              </w:rPr>
              <w:t>.-   3700,0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г. -  6718,6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 г. -        0,0 тыс. рублей,</w:t>
            </w:r>
          </w:p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2021г. -         0,0 тыс. рублей.</w:t>
            </w:r>
          </w:p>
        </w:tc>
      </w:tr>
    </w:tbl>
    <w:p w:rsidR="00C17A98" w:rsidRDefault="00C17A98" w:rsidP="00C17A98">
      <w:pPr>
        <w:autoSpaceDE w:val="0"/>
        <w:autoSpaceDN w:val="0"/>
        <w:adjustRightInd w:val="0"/>
        <w:rPr>
          <w:sz w:val="28"/>
          <w:szCs w:val="28"/>
        </w:rPr>
      </w:pP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Приложение11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C17A98" w:rsidRDefault="00C17A98" w:rsidP="00C17A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C17A98" w:rsidRDefault="00C17A98" w:rsidP="00C17A9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 </w:t>
      </w:r>
      <w:r w:rsidR="00CA5D87">
        <w:t xml:space="preserve">                        </w:t>
      </w:r>
      <w:r>
        <w:t xml:space="preserve">№ </w:t>
      </w:r>
      <w:bookmarkStart w:id="0" w:name="_GoBack"/>
      <w:bookmarkEnd w:id="0"/>
    </w:p>
    <w:p w:rsidR="00C17A98" w:rsidRDefault="00C17A98" w:rsidP="00C17A98">
      <w:pPr>
        <w:pStyle w:val="af"/>
        <w:ind w:firstLine="708"/>
        <w:jc w:val="center"/>
        <w:rPr>
          <w:b/>
        </w:rPr>
      </w:pPr>
      <w:r>
        <w:rPr>
          <w:b/>
        </w:rPr>
        <w:t>Ресурсное обеспечение мероприятий подпрограммы</w:t>
      </w:r>
    </w:p>
    <w:p w:rsidR="00C17A98" w:rsidRDefault="00C17A98" w:rsidP="00C17A98">
      <w:pPr>
        <w:jc w:val="right"/>
      </w:pPr>
      <w:r>
        <w:t>тыс. руб.</w:t>
      </w:r>
    </w:p>
    <w:p w:rsidR="00C17A98" w:rsidRDefault="00C17A98" w:rsidP="00C17A98">
      <w:pPr>
        <w:jc w:val="right"/>
        <w:rPr>
          <w:sz w:val="28"/>
          <w:szCs w:val="28"/>
        </w:rPr>
      </w:pPr>
    </w:p>
    <w:tbl>
      <w:tblPr>
        <w:tblW w:w="0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246"/>
        <w:gridCol w:w="1164"/>
        <w:gridCol w:w="1276"/>
        <w:gridCol w:w="1134"/>
        <w:gridCol w:w="1276"/>
      </w:tblGrid>
      <w:tr w:rsidR="00C17A98" w:rsidTr="00C17A98">
        <w:trPr>
          <w:trHeight w:val="20"/>
          <w:tblHeader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Наименование подпрограммы / </w:t>
            </w:r>
            <w:r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2018г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«Сохранение, использование, популяризация  и государственная охрана объектов культурного наследия (памятников истории и культуры) Тейковского муниципального района»/ всего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государственных историко-культурных экспертиз для включения выявленных объектов культурного наследия в Единый государственный реестр объектов культурного наследия и для включенных в единый государственный реестр объектов культурного значения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государственных историко-культурных экспертиз для исключения из единого реестра объектов культурного наследия, как утративших свое значение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документов на заключение охранных обязательств с Департаментом культуры и туризма Ивановской области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Установка информационных надписей на объекты культурного значения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проекта зон охраны объектов культурного наследия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ремонтно-реставрационных работ  на объекте культурного наследия регионального значения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6718,6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Изготовление буклетов о памятниках истории и культуры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федеральный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17A98" w:rsidTr="00C17A98">
        <w:trPr>
          <w:cantSplit/>
          <w:trHeight w:val="2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7A98" w:rsidRDefault="00C17A9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17A98" w:rsidRDefault="00C17A98" w:rsidP="00C17A98">
      <w:pPr>
        <w:pStyle w:val="af"/>
      </w:pPr>
    </w:p>
    <w:p w:rsidR="00C17A98" w:rsidRDefault="00C17A98" w:rsidP="00C17A98">
      <w:pPr>
        <w:pStyle w:val="af"/>
      </w:pPr>
    </w:p>
    <w:p w:rsidR="00C17A98" w:rsidRDefault="00C17A98" w:rsidP="00C17A98">
      <w:pPr>
        <w:pStyle w:val="af"/>
      </w:pPr>
    </w:p>
    <w:p w:rsidR="00C17A98" w:rsidRDefault="00C17A98" w:rsidP="00C17A98">
      <w:pPr>
        <w:pStyle w:val="af"/>
      </w:pPr>
    </w:p>
    <w:p w:rsidR="00C17A98" w:rsidRDefault="00C17A98" w:rsidP="00C17A98">
      <w:pPr>
        <w:pStyle w:val="af"/>
      </w:pPr>
    </w:p>
    <w:p w:rsidR="0006134E" w:rsidRDefault="0006134E"/>
    <w:sectPr w:rsidR="0006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5137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F09F4"/>
    <w:multiLevelType w:val="multilevel"/>
    <w:tmpl w:val="630AFE90"/>
    <w:lvl w:ilvl="0">
      <w:start w:val="3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/>
      </w:rPr>
    </w:lvl>
  </w:abstractNum>
  <w:abstractNum w:abstractNumId="2">
    <w:nsid w:val="50DC52BA"/>
    <w:multiLevelType w:val="multilevel"/>
    <w:tmpl w:val="E60E2DD0"/>
    <w:lvl w:ilvl="0">
      <w:start w:val="1"/>
      <w:numFmt w:val="decimal"/>
      <w:lvlText w:val="%1."/>
      <w:lvlJc w:val="left"/>
      <w:pPr>
        <w:ind w:left="1350" w:hanging="5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5" w:hanging="720"/>
      </w:pPr>
    </w:lvl>
    <w:lvl w:ilvl="2">
      <w:start w:val="1"/>
      <w:numFmt w:val="decimal"/>
      <w:isLgl/>
      <w:lvlText w:val="%1.%2.%3."/>
      <w:lvlJc w:val="left"/>
      <w:pPr>
        <w:ind w:left="1515" w:hanging="720"/>
      </w:pPr>
    </w:lvl>
    <w:lvl w:ilvl="3">
      <w:start w:val="1"/>
      <w:numFmt w:val="decimal"/>
      <w:isLgl/>
      <w:lvlText w:val="%1.%2.%3.%4."/>
      <w:lvlJc w:val="left"/>
      <w:pPr>
        <w:ind w:left="1875" w:hanging="1080"/>
      </w:pPr>
    </w:lvl>
    <w:lvl w:ilvl="4">
      <w:start w:val="1"/>
      <w:numFmt w:val="decimal"/>
      <w:isLgl/>
      <w:lvlText w:val="%1.%2.%3.%4.%5."/>
      <w:lvlJc w:val="left"/>
      <w:pPr>
        <w:ind w:left="1875" w:hanging="1080"/>
      </w:pPr>
    </w:lvl>
    <w:lvl w:ilvl="5">
      <w:start w:val="1"/>
      <w:numFmt w:val="decimal"/>
      <w:isLgl/>
      <w:lvlText w:val="%1.%2.%3.%4.%5.%6."/>
      <w:lvlJc w:val="left"/>
      <w:pPr>
        <w:ind w:left="2235" w:hanging="1440"/>
      </w:pPr>
    </w:lvl>
    <w:lvl w:ilvl="6">
      <w:start w:val="1"/>
      <w:numFmt w:val="decimal"/>
      <w:isLgl/>
      <w:lvlText w:val="%1.%2.%3.%4.%5.%6.%7."/>
      <w:lvlJc w:val="left"/>
      <w:pPr>
        <w:ind w:left="2595" w:hanging="1800"/>
      </w:p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</w:lvl>
  </w:abstractNum>
  <w:abstractNum w:abstractNumId="3">
    <w:nsid w:val="628B4A97"/>
    <w:multiLevelType w:val="multilevel"/>
    <w:tmpl w:val="7DA00208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b/>
      </w:rPr>
    </w:lvl>
  </w:abstractNum>
  <w:abstractNum w:abstractNumId="4">
    <w:nsid w:val="6F3D5995"/>
    <w:multiLevelType w:val="hybridMultilevel"/>
    <w:tmpl w:val="4E1A8C68"/>
    <w:lvl w:ilvl="0" w:tplc="9404EF8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907C32"/>
    <w:multiLevelType w:val="multilevel"/>
    <w:tmpl w:val="C5E8D76A"/>
    <w:lvl w:ilvl="0">
      <w:start w:val="3"/>
      <w:numFmt w:val="decimal"/>
      <w:lvlText w:val="%1"/>
      <w:lvlJc w:val="left"/>
      <w:pPr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ind w:left="121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b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B7"/>
    <w:rsid w:val="0006134E"/>
    <w:rsid w:val="00C17A98"/>
    <w:rsid w:val="00CA5D87"/>
    <w:rsid w:val="00D5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Pro-Gramma"/>
    <w:link w:val="30"/>
    <w:uiPriority w:val="99"/>
    <w:semiHidden/>
    <w:unhideWhenUsed/>
    <w:qFormat/>
    <w:rsid w:val="00C17A98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C17A98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styleId="a3">
    <w:name w:val="Hyperlink"/>
    <w:uiPriority w:val="99"/>
    <w:semiHidden/>
    <w:unhideWhenUsed/>
    <w:rsid w:val="00C17A9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C17A98"/>
    <w:rPr>
      <w:rFonts w:ascii="Times New Roman" w:hAnsi="Times New Roman" w:cs="Times New Roman" w:hint="default"/>
      <w:color w:val="954F72"/>
      <w:u w:val="single"/>
    </w:rPr>
  </w:style>
  <w:style w:type="paragraph" w:customStyle="1" w:styleId="Pro-Gramma">
    <w:name w:val="Pro-Gramma"/>
    <w:basedOn w:val="a"/>
    <w:link w:val="Pro-Gramma0"/>
    <w:rsid w:val="00C17A98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17A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17A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C17A98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C17A98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C17A98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C17A9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7A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17A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7A9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C1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C17A98"/>
    <w:pPr>
      <w:ind w:left="720"/>
      <w:contextualSpacing/>
    </w:pPr>
  </w:style>
  <w:style w:type="character" w:customStyle="1" w:styleId="Pro-Gramma0">
    <w:name w:val="Pro-Gramma Знак"/>
    <w:link w:val="Pro-Gramma"/>
    <w:locked/>
    <w:rsid w:val="00C17A98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17A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C17A98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0">
    <w:name w:val="Абзац списка1"/>
    <w:basedOn w:val="a"/>
    <w:uiPriority w:val="99"/>
    <w:rsid w:val="00C17A98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C17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C17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-List1">
    <w:name w:val="Pro-List #1"/>
    <w:basedOn w:val="Pro-Gramma"/>
    <w:rsid w:val="00C17A98"/>
    <w:pPr>
      <w:tabs>
        <w:tab w:val="left" w:pos="1134"/>
      </w:tabs>
      <w:spacing w:before="180"/>
      <w:ind w:hanging="567"/>
    </w:pPr>
    <w:rPr>
      <w:rFonts w:eastAsia="Times New Roman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C17A98"/>
  </w:style>
  <w:style w:type="table" w:styleId="af1">
    <w:name w:val="Table Grid"/>
    <w:basedOn w:val="a1"/>
    <w:uiPriority w:val="59"/>
    <w:rsid w:val="00C17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Pro-Gramma"/>
    <w:link w:val="30"/>
    <w:uiPriority w:val="99"/>
    <w:semiHidden/>
    <w:unhideWhenUsed/>
    <w:qFormat/>
    <w:rsid w:val="00C17A98"/>
    <w:pPr>
      <w:keepNext/>
      <w:spacing w:before="1200" w:after="600"/>
      <w:outlineLvl w:val="2"/>
    </w:pPr>
    <w:rPr>
      <w:rFonts w:ascii="Verdana" w:hAnsi="Verdana"/>
      <w:bCs/>
      <w:color w:val="C41C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C17A98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styleId="a3">
    <w:name w:val="Hyperlink"/>
    <w:uiPriority w:val="99"/>
    <w:semiHidden/>
    <w:unhideWhenUsed/>
    <w:rsid w:val="00C17A9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C17A98"/>
    <w:rPr>
      <w:rFonts w:ascii="Times New Roman" w:hAnsi="Times New Roman" w:cs="Times New Roman" w:hint="default"/>
      <w:color w:val="954F72"/>
      <w:u w:val="single"/>
    </w:rPr>
  </w:style>
  <w:style w:type="paragraph" w:customStyle="1" w:styleId="Pro-Gramma">
    <w:name w:val="Pro-Gramma"/>
    <w:basedOn w:val="a"/>
    <w:link w:val="Pro-Gramma0"/>
    <w:rsid w:val="00C17A98"/>
    <w:pPr>
      <w:spacing w:before="120" w:line="288" w:lineRule="auto"/>
      <w:ind w:left="1134"/>
      <w:jc w:val="both"/>
    </w:pPr>
    <w:rPr>
      <w:rFonts w:ascii="Georgia" w:eastAsia="Calibri" w:hAnsi="Georgia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17A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17A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C17A98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C17A98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C17A98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C17A9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7A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17A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7A9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C17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C17A98"/>
    <w:pPr>
      <w:ind w:left="720"/>
      <w:contextualSpacing/>
    </w:pPr>
  </w:style>
  <w:style w:type="character" w:customStyle="1" w:styleId="Pro-Gramma0">
    <w:name w:val="Pro-Gramma Знак"/>
    <w:link w:val="Pro-Gramma"/>
    <w:locked/>
    <w:rsid w:val="00C17A98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17A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C17A98"/>
    <w:pPr>
      <w:keepNext/>
      <w:spacing w:before="240" w:after="120"/>
    </w:pPr>
    <w:rPr>
      <w:rFonts w:ascii="Tahoma" w:eastAsia="Calibri" w:hAnsi="Tahoma"/>
      <w:b/>
      <w:bCs/>
      <w:color w:val="C41C16"/>
      <w:sz w:val="16"/>
      <w:szCs w:val="20"/>
    </w:rPr>
  </w:style>
  <w:style w:type="paragraph" w:customStyle="1" w:styleId="10">
    <w:name w:val="Абзац списка1"/>
    <w:basedOn w:val="a"/>
    <w:uiPriority w:val="99"/>
    <w:rsid w:val="00C17A98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C17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C17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-List1">
    <w:name w:val="Pro-List #1"/>
    <w:basedOn w:val="Pro-Gramma"/>
    <w:rsid w:val="00C17A98"/>
    <w:pPr>
      <w:tabs>
        <w:tab w:val="left" w:pos="1134"/>
      </w:tabs>
      <w:spacing w:before="180"/>
      <w:ind w:hanging="567"/>
    </w:pPr>
    <w:rPr>
      <w:rFonts w:eastAsia="Times New Roman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C17A98"/>
  </w:style>
  <w:style w:type="table" w:styleId="af1">
    <w:name w:val="Table Grid"/>
    <w:basedOn w:val="a1"/>
    <w:uiPriority w:val="59"/>
    <w:rsid w:val="00C17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4782</Words>
  <Characters>27261</Characters>
  <Application>Microsoft Office Word</Application>
  <DocSecurity>0</DocSecurity>
  <Lines>227</Lines>
  <Paragraphs>63</Paragraphs>
  <ScaleCrop>false</ScaleCrop>
  <Company/>
  <LinksUpToDate>false</LinksUpToDate>
  <CharactersWithSpaces>31980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2019-02-20T09:04:00Z</dcterms:created>
  <dcterms:modified xsi:type="dcterms:W3CDTF">2019-08-13T06:05:00Z</dcterms:modified>
</cp:coreProperties>
</file>