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B4" w:rsidRDefault="006E475A" w:rsidP="006E475A">
      <w:r>
        <w:t>ПРОЕКТ</w:t>
      </w:r>
    </w:p>
    <w:p w:rsidR="001E27B4" w:rsidRDefault="001E27B4" w:rsidP="001E27B4">
      <w:pPr>
        <w:jc w:val="center"/>
        <w:rPr>
          <w:b/>
          <w:sz w:val="36"/>
          <w:szCs w:val="36"/>
        </w:rPr>
      </w:pPr>
    </w:p>
    <w:p w:rsidR="001E27B4" w:rsidRDefault="001E27B4" w:rsidP="001E27B4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1E27B4" w:rsidRDefault="001E27B4" w:rsidP="001E27B4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1E27B4" w:rsidRDefault="001E27B4" w:rsidP="001E27B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jc w:val="center"/>
        <w:rPr>
          <w:b/>
        </w:rPr>
      </w:pPr>
      <w:r>
        <w:rPr>
          <w:b/>
        </w:rPr>
        <w:t xml:space="preserve">П О С Т А Н О В Л Е Н И Е </w:t>
      </w: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jc w:val="center"/>
      </w:pPr>
      <w:r>
        <w:t xml:space="preserve">от  </w:t>
      </w:r>
      <w:r w:rsidR="006E475A">
        <w:t xml:space="preserve">                                        </w:t>
      </w:r>
      <w:r>
        <w:t xml:space="preserve">№ </w:t>
      </w:r>
    </w:p>
    <w:p w:rsidR="001E27B4" w:rsidRDefault="001E27B4" w:rsidP="001E27B4">
      <w:pPr>
        <w:jc w:val="center"/>
      </w:pPr>
      <w:r>
        <w:t xml:space="preserve">г. Тейково </w:t>
      </w:r>
    </w:p>
    <w:p w:rsidR="001E27B4" w:rsidRDefault="001E27B4" w:rsidP="001E27B4">
      <w:pPr>
        <w:jc w:val="center"/>
      </w:pPr>
    </w:p>
    <w:p w:rsidR="001E27B4" w:rsidRDefault="001E27B4" w:rsidP="001E27B4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 </w:t>
      </w:r>
      <w:r>
        <w:rPr>
          <w:b/>
          <w:bCs/>
        </w:rPr>
        <w:t>(в действующей редакции)</w:t>
      </w:r>
    </w:p>
    <w:p w:rsidR="001E27B4" w:rsidRDefault="001E27B4" w:rsidP="001E27B4">
      <w:pPr>
        <w:rPr>
          <w:b/>
        </w:rPr>
      </w:pPr>
    </w:p>
    <w:p w:rsidR="001E27B4" w:rsidRDefault="001E27B4" w:rsidP="001E27B4">
      <w:pPr>
        <w:rPr>
          <w:b/>
        </w:rPr>
      </w:pPr>
    </w:p>
    <w:p w:rsidR="001E27B4" w:rsidRDefault="001E27B4" w:rsidP="001E27B4">
      <w:pPr>
        <w:jc w:val="both"/>
      </w:pPr>
      <w: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1E27B4" w:rsidRDefault="001E27B4" w:rsidP="001E27B4">
      <w:pPr>
        <w:jc w:val="center"/>
        <w:rPr>
          <w:b/>
        </w:rPr>
      </w:pPr>
      <w:r>
        <w:rPr>
          <w:b/>
        </w:rPr>
        <w:t>ПОСТАНОВЛЯЕТ:</w:t>
      </w: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jc w:val="both"/>
      </w:pPr>
      <w:r>
        <w:tab/>
        <w:t>Внести в постановление администрации Тейковского муниципального района  от 28.11.2013</w:t>
      </w:r>
      <w:r>
        <w:rPr>
          <w:b/>
        </w:rPr>
        <w:t xml:space="preserve"> </w:t>
      </w:r>
      <w:r>
        <w:t xml:space="preserve">№ 629 «Об утверждении муниципальной программы «Развитие образования Тейковского муниципального района» </w:t>
      </w:r>
      <w:r>
        <w:rPr>
          <w:bCs/>
        </w:rPr>
        <w:t>(в действующей редакции)</w:t>
      </w:r>
      <w:r>
        <w:t xml:space="preserve"> следующие изменения:</w:t>
      </w:r>
    </w:p>
    <w:p w:rsidR="001E27B4" w:rsidRDefault="001E27B4" w:rsidP="001E27B4">
      <w:pPr>
        <w:jc w:val="both"/>
      </w:pPr>
      <w:r>
        <w:tab/>
        <w:t>в приложении к постановлению:</w:t>
      </w:r>
    </w:p>
    <w:p w:rsidR="001E27B4" w:rsidRDefault="001E27B4" w:rsidP="001E27B4">
      <w:pPr>
        <w:numPr>
          <w:ilvl w:val="0"/>
          <w:numId w:val="1"/>
        </w:numPr>
        <w:ind w:left="0" w:firstLine="708"/>
        <w:jc w:val="both"/>
      </w:pPr>
      <w:r>
        <w:t>Раздел «1. Паспорт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1E27B4" w:rsidRDefault="001E27B4" w:rsidP="001E27B4">
      <w:pPr>
        <w:numPr>
          <w:ilvl w:val="0"/>
          <w:numId w:val="1"/>
        </w:numPr>
        <w:ind w:left="0" w:firstLine="708"/>
        <w:jc w:val="both"/>
      </w:pPr>
      <w:r>
        <w:t>Таблицу 7. Ресурсное обеспечение реализации программы раздела «4. Ресурсное обеспечение муниципальной программы» изложить в</w:t>
      </w:r>
    </w:p>
    <w:p w:rsidR="001E27B4" w:rsidRDefault="001E27B4" w:rsidP="001E27B4">
      <w:pPr>
        <w:jc w:val="both"/>
      </w:pPr>
      <w:r>
        <w:t>новой редакции согласно приложению 2.</w:t>
      </w:r>
    </w:p>
    <w:p w:rsidR="001E27B4" w:rsidRDefault="001E27B4" w:rsidP="001E27B4">
      <w:pPr>
        <w:jc w:val="both"/>
      </w:pPr>
    </w:p>
    <w:p w:rsidR="001E27B4" w:rsidRDefault="001E27B4" w:rsidP="001E27B4">
      <w:pPr>
        <w:jc w:val="both"/>
      </w:pPr>
    </w:p>
    <w:p w:rsidR="001E27B4" w:rsidRDefault="001E27B4" w:rsidP="001E27B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1 к муниципальной программе «Развитие образования Тейковского муниципального района»:</w:t>
      </w:r>
    </w:p>
    <w:p w:rsidR="001E27B4" w:rsidRDefault="001E27B4" w:rsidP="001E27B4">
      <w:pPr>
        <w:ind w:firstLine="708"/>
        <w:jc w:val="both"/>
      </w:pPr>
      <w:r>
        <w:t>- Раздел «1. Паспорт подпрограммы» изложить в новой редакции согласно приложению 3.</w:t>
      </w:r>
    </w:p>
    <w:p w:rsidR="001E27B4" w:rsidRDefault="001E27B4" w:rsidP="001E27B4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Развитие общего образования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4.</w:t>
      </w:r>
    </w:p>
    <w:p w:rsidR="001E27B4" w:rsidRDefault="001E27B4" w:rsidP="001E27B4">
      <w:pPr>
        <w:ind w:firstLine="708"/>
        <w:jc w:val="both"/>
      </w:pPr>
    </w:p>
    <w:p w:rsidR="001E27B4" w:rsidRDefault="001E27B4" w:rsidP="001E27B4">
      <w:pPr>
        <w:ind w:firstLine="708"/>
        <w:jc w:val="both"/>
      </w:pPr>
    </w:p>
    <w:p w:rsidR="001E27B4" w:rsidRDefault="001E27B4" w:rsidP="001E27B4">
      <w:pPr>
        <w:ind w:firstLine="708"/>
        <w:jc w:val="both"/>
      </w:pPr>
    </w:p>
    <w:p w:rsidR="001E27B4" w:rsidRDefault="001E27B4" w:rsidP="001E27B4">
      <w:pPr>
        <w:ind w:firstLine="708"/>
        <w:jc w:val="both"/>
      </w:pPr>
    </w:p>
    <w:p w:rsidR="001E27B4" w:rsidRDefault="001E27B4" w:rsidP="001E27B4">
      <w:pPr>
        <w:jc w:val="both"/>
        <w:rPr>
          <w:b/>
        </w:rPr>
      </w:pPr>
      <w:r>
        <w:rPr>
          <w:b/>
        </w:rPr>
        <w:t>Глава Тейковского</w:t>
      </w:r>
    </w:p>
    <w:p w:rsidR="001E27B4" w:rsidRDefault="001E27B4" w:rsidP="001E27B4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С.А. Семенова</w:t>
      </w:r>
    </w:p>
    <w:p w:rsidR="001E27B4" w:rsidRDefault="001E27B4" w:rsidP="001E27B4"/>
    <w:p w:rsidR="001E27B4" w:rsidRDefault="001E27B4" w:rsidP="001E27B4"/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lastRenderedPageBreak/>
        <w:t>к постановлению администрации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1E27B4" w:rsidRDefault="001E27B4" w:rsidP="001E27B4">
      <w:pPr>
        <w:jc w:val="right"/>
      </w:pPr>
      <w:r>
        <w:t xml:space="preserve">от    </w:t>
      </w:r>
      <w:r w:rsidR="006E475A">
        <w:t xml:space="preserve">                             </w:t>
      </w:r>
      <w:r>
        <w:t xml:space="preserve">№ </w:t>
      </w:r>
    </w:p>
    <w:p w:rsidR="001E27B4" w:rsidRDefault="001E27B4" w:rsidP="001E27B4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1E27B4" w:rsidRDefault="001E27B4" w:rsidP="001E27B4">
      <w:pPr>
        <w:jc w:val="center"/>
      </w:pPr>
      <w:r>
        <w:t xml:space="preserve">Муниципальная программа </w:t>
      </w:r>
    </w:p>
    <w:p w:rsidR="001E27B4" w:rsidRDefault="001E27B4" w:rsidP="001E27B4">
      <w:pPr>
        <w:jc w:val="center"/>
        <w:rPr>
          <w:b/>
        </w:rPr>
      </w:pPr>
      <w:r>
        <w:rPr>
          <w:b/>
        </w:rPr>
        <w:t>«Развитие образования Тейковского муниципального района»</w:t>
      </w:r>
    </w:p>
    <w:p w:rsidR="001E27B4" w:rsidRDefault="001E27B4" w:rsidP="001E27B4">
      <w:pPr>
        <w:jc w:val="center"/>
        <w:rPr>
          <w:b/>
        </w:rPr>
      </w:pPr>
    </w:p>
    <w:p w:rsidR="001E27B4" w:rsidRDefault="001E27B4" w:rsidP="001E27B4">
      <w:pPr>
        <w:numPr>
          <w:ilvl w:val="0"/>
          <w:numId w:val="2"/>
        </w:numPr>
        <w:jc w:val="center"/>
      </w:pPr>
      <w:r>
        <w:t xml:space="preserve">Паспорт муниципальной  программы «Развитие образования </w:t>
      </w:r>
    </w:p>
    <w:p w:rsidR="001E27B4" w:rsidRDefault="001E27B4" w:rsidP="001E27B4">
      <w:pPr>
        <w:jc w:val="center"/>
      </w:pPr>
      <w:r>
        <w:t xml:space="preserve">Тейковского муниципального района» </w:t>
      </w: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08"/>
        <w:gridCol w:w="6854"/>
      </w:tblGrid>
      <w:tr w:rsidR="001E27B4" w:rsidTr="001E27B4">
        <w:tc>
          <w:tcPr>
            <w:tcW w:w="262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образования Тейковского муниципального района»</w:t>
            </w:r>
          </w:p>
        </w:tc>
      </w:tr>
      <w:tr w:rsidR="001E27B4" w:rsidTr="001E27B4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2014-2021</w:t>
            </w:r>
          </w:p>
        </w:tc>
      </w:tr>
      <w:tr w:rsidR="001E27B4" w:rsidTr="001E27B4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1E27B4" w:rsidTr="001E27B4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1E27B4" w:rsidTr="001E27B4"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общего образования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мер социальной поддержки в сфере образования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Тейковского муниципального района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  <w:p w:rsidR="001E27B4" w:rsidRDefault="001E27B4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</w:tr>
      <w:tr w:rsidR="001E27B4" w:rsidTr="001E27B4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 (цели)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1E27B4" w:rsidTr="001E27B4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117193,5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116661,6 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112636,0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113423,8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128628,0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131741,4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124259,3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125120,1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бюджет: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1352,6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2774,4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1451,4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1507,4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1914,0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2141,4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областной бюджет: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55269,5тыс.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53942,4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58455,8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56645,0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65319,6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67284,9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- 67424,5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70542,2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60571,4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59944,8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52728,8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55271,4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61394,4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62315,1 тыс. руб.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 56834,8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7B4" w:rsidRDefault="001E27B4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54577,9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E27B4" w:rsidRDefault="001E27B4" w:rsidP="001E27B4"/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1E27B4" w:rsidRDefault="001E27B4" w:rsidP="001E27B4">
      <w:pPr>
        <w:jc w:val="right"/>
      </w:pPr>
      <w:r>
        <w:t xml:space="preserve">от     </w:t>
      </w:r>
      <w:r w:rsidR="006E475A">
        <w:t xml:space="preserve">                              </w:t>
      </w:r>
      <w:r>
        <w:t xml:space="preserve">№ </w:t>
      </w:r>
    </w:p>
    <w:p w:rsidR="001E27B4" w:rsidRDefault="001E27B4" w:rsidP="001E27B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1E27B4" w:rsidRDefault="001E27B4" w:rsidP="001E27B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4. Ресурсное обеспечение муниципальной программы</w:t>
      </w:r>
    </w:p>
    <w:p w:rsidR="001E27B4" w:rsidRDefault="001E27B4" w:rsidP="001E27B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Таблица 7. Ресурсное обеспечение реализации программы</w:t>
      </w:r>
    </w:p>
    <w:p w:rsidR="001E27B4" w:rsidRDefault="001E27B4" w:rsidP="001E27B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.)</w:t>
      </w:r>
    </w:p>
    <w:tbl>
      <w:tblPr>
        <w:tblW w:w="0" w:type="dxa"/>
        <w:tblInd w:w="-12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137"/>
        <w:gridCol w:w="992"/>
        <w:gridCol w:w="993"/>
        <w:gridCol w:w="992"/>
        <w:gridCol w:w="992"/>
        <w:gridCol w:w="1134"/>
        <w:gridCol w:w="1134"/>
        <w:gridCol w:w="1134"/>
      </w:tblGrid>
      <w:tr w:rsidR="001E27B4" w:rsidTr="001E27B4">
        <w:trPr>
          <w:tblHeader/>
        </w:trPr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rPr>
                <w:b/>
              </w:rPr>
            </w:pPr>
            <w:r>
              <w:rPr>
                <w:lang w:val="en-US"/>
              </w:rPr>
              <w:t>№</w:t>
            </w:r>
            <w:r>
              <w:t xml:space="preserve"> п/п</w:t>
            </w:r>
          </w:p>
        </w:tc>
        <w:tc>
          <w:tcPr>
            <w:tcW w:w="18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13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</w:pPr>
            <w:r>
              <w:t>2021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программа, всего: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131741,4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</w:pPr>
            <w: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131741,4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spacing w:before="40" w:after="40"/>
              <w:jc w:val="center"/>
            </w:pPr>
            <w:r>
              <w:t>1352,6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spacing w:before="40" w:after="40"/>
              <w:jc w:val="center"/>
            </w:pPr>
            <w:r>
              <w:t>2 774,4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spacing w:before="40" w:after="40"/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spacing w:before="40" w:after="40"/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</w:pPr>
            <w:r>
              <w:t>55269,5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53942,4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</w:pPr>
            <w:r>
              <w:t>56645,0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E27B4" w:rsidRDefault="001E27B4">
            <w:pPr>
              <w:jc w:val="center"/>
            </w:pPr>
            <w:r>
              <w:t>65319,6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67284,9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67424,5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70542,2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60571,4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59944,8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52728,8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55271,4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61394,4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62315,1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56834,8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54577,9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подпрограммы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Подпрограмма «Развитие общего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11897,9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11897,9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1218,2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1678,4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</w:pPr>
            <w:r>
              <w:t>6676,4</w:t>
            </w:r>
          </w:p>
          <w:p w:rsidR="001E27B4" w:rsidRDefault="001E27B4">
            <w:pPr>
              <w:spacing w:before="40" w:after="40"/>
              <w:jc w:val="center"/>
            </w:pPr>
          </w:p>
          <w:p w:rsidR="001E27B4" w:rsidRDefault="001E27B4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7811,5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8598,8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9256,5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2438,6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2075,1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1759,0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942,4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601,8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474,2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644,7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70,7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1093,4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1045,9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1231,4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1443,1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3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«Выявление и поддержка одаренных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476,4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4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«Реализация основных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47469,0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47469,0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587,1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1118,2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44105,2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44681,4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46350,8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46973,6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lastRenderedPageBreak/>
              <w:t>5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69620,3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6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«Реализация дополнительных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48,8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163,6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407,5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713,3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4276,9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3698,3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3593,4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3684,8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3897,7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3686,4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3758,9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7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«Организация отдыха и оздоровление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134,4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302,4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277,2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388,1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390,4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8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9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190,0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10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</w:pPr>
            <w: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11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12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color w:val="FF0000"/>
              </w:rPr>
            </w:pPr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</w:tbl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1E27B4" w:rsidRDefault="001E27B4" w:rsidP="001E27B4">
      <w:pPr>
        <w:jc w:val="right"/>
      </w:pPr>
      <w:r>
        <w:t xml:space="preserve">от     </w:t>
      </w:r>
      <w:r w:rsidR="006E475A">
        <w:t xml:space="preserve">                        </w:t>
      </w:r>
      <w:r>
        <w:t xml:space="preserve">№ </w:t>
      </w:r>
    </w:p>
    <w:p w:rsidR="001E27B4" w:rsidRDefault="001E27B4" w:rsidP="001E27B4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1E27B4" w:rsidRDefault="001E27B4" w:rsidP="001E27B4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</w:p>
    <w:p w:rsidR="001E27B4" w:rsidRDefault="001E27B4" w:rsidP="001E27B4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 xml:space="preserve">Подпрограмма </w:t>
      </w:r>
    </w:p>
    <w:p w:rsidR="001E27B4" w:rsidRDefault="001E27B4" w:rsidP="001E27B4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>«Развитие общего образования»</w:t>
      </w:r>
    </w:p>
    <w:p w:rsidR="001E27B4" w:rsidRDefault="001E27B4" w:rsidP="001E27B4">
      <w:pPr>
        <w:tabs>
          <w:tab w:val="left" w:pos="990"/>
        </w:tabs>
        <w:ind w:left="720"/>
        <w:contextualSpacing/>
        <w:jc w:val="center"/>
        <w:rPr>
          <w:b/>
        </w:rPr>
      </w:pPr>
    </w:p>
    <w:p w:rsidR="001E27B4" w:rsidRDefault="001E27B4" w:rsidP="001E27B4">
      <w:pPr>
        <w:keepNext/>
        <w:numPr>
          <w:ilvl w:val="0"/>
          <w:numId w:val="4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tbl>
      <w:tblPr>
        <w:tblW w:w="924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35"/>
        <w:gridCol w:w="6706"/>
      </w:tblGrid>
      <w:tr w:rsidR="001E27B4" w:rsidTr="001E27B4">
        <w:trPr>
          <w:cantSplit/>
          <w:trHeight w:val="97"/>
        </w:trPr>
        <w:tc>
          <w:tcPr>
            <w:tcW w:w="253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r>
              <w:t>Наименование подпрограммы</w:t>
            </w:r>
          </w:p>
          <w:p w:rsidR="001E27B4" w:rsidRDefault="001E27B4">
            <w:pPr>
              <w:rPr>
                <w:b/>
              </w:rPr>
            </w:pPr>
          </w:p>
        </w:tc>
        <w:tc>
          <w:tcPr>
            <w:tcW w:w="67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tabs>
                <w:tab w:val="left" w:pos="990"/>
              </w:tabs>
              <w:jc w:val="both"/>
            </w:pPr>
            <w:r>
              <w:t>Развитие общего образования</w:t>
            </w:r>
          </w:p>
        </w:tc>
      </w:tr>
      <w:tr w:rsidR="001E27B4" w:rsidTr="001E27B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r>
              <w:t xml:space="preserve">Срок реализации подпрограммы </w:t>
            </w:r>
          </w:p>
          <w:p w:rsidR="001E27B4" w:rsidRDefault="001E27B4"/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both"/>
            </w:pPr>
            <w:r>
              <w:t>2014-2021</w:t>
            </w:r>
          </w:p>
        </w:tc>
      </w:tr>
      <w:tr w:rsidR="001E27B4" w:rsidTr="001E27B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r>
              <w:t>Исполнители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jc w:val="both"/>
            </w:pPr>
            <w:r>
              <w:t>Отдел образования администрации Тейковского муниципального района</w:t>
            </w:r>
          </w:p>
          <w:p w:rsidR="001E27B4" w:rsidRDefault="001E27B4">
            <w:pPr>
              <w:jc w:val="both"/>
            </w:pPr>
          </w:p>
        </w:tc>
      </w:tr>
      <w:tr w:rsidR="001E27B4" w:rsidTr="001E27B4">
        <w:trPr>
          <w:cantSplit/>
          <w:trHeight w:val="4315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r>
              <w:t>Цель (цели)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1E27B4" w:rsidRDefault="001E27B4">
            <w:pPr>
              <w:jc w:val="both"/>
            </w:pPr>
          </w:p>
          <w:p w:rsidR="001E27B4" w:rsidRDefault="001E27B4">
            <w:pPr>
              <w:jc w:val="both"/>
            </w:pPr>
            <w:r>
              <w:t>Укрепление пожарной безопасности общеобразовательных учреждений.</w:t>
            </w:r>
          </w:p>
          <w:p w:rsidR="001E27B4" w:rsidRDefault="001E27B4">
            <w:pPr>
              <w:jc w:val="both"/>
            </w:pPr>
            <w:r>
              <w:t>Укрепление материально-технической базы образовательных учреждений.</w:t>
            </w:r>
          </w:p>
          <w:p w:rsidR="001E27B4" w:rsidRDefault="001E27B4">
            <w:pPr>
              <w:jc w:val="both"/>
            </w:pPr>
            <w:r>
              <w:t>Укрепление материально-технической базы дошкольных образовательных учреждений.</w:t>
            </w:r>
          </w:p>
          <w:p w:rsidR="001E27B4" w:rsidRDefault="001E27B4">
            <w:pPr>
              <w:jc w:val="both"/>
            </w:pPr>
            <w:r>
              <w:t>Организация антитеррористической защищенности образовательных учреждений.</w:t>
            </w:r>
          </w:p>
          <w:p w:rsidR="001E27B4" w:rsidRDefault="001E27B4">
            <w:pPr>
              <w:jc w:val="both"/>
            </w:pPr>
            <w: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1E27B4" w:rsidRDefault="001E27B4">
            <w:pPr>
              <w:jc w:val="both"/>
            </w:pPr>
            <w:r>
              <w:t>Совершенствование учительского корпуса.</w:t>
            </w:r>
          </w:p>
        </w:tc>
      </w:tr>
      <w:tr w:rsidR="001E27B4" w:rsidTr="001E27B4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r>
              <w:lastRenderedPageBreak/>
              <w:t>Объем ресурсного обеспечения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both"/>
            </w:pPr>
            <w:r>
              <w:t xml:space="preserve">Общий объем бюджетных ассигнований: </w:t>
            </w:r>
          </w:p>
          <w:p w:rsidR="001E27B4" w:rsidRDefault="001E27B4">
            <w:pPr>
              <w:jc w:val="both"/>
            </w:pPr>
            <w:r>
              <w:t>2014 год – 8546,0 тыс. руб.</w:t>
            </w:r>
          </w:p>
          <w:p w:rsidR="001E27B4" w:rsidRDefault="001E27B4">
            <w:pPr>
              <w:jc w:val="both"/>
            </w:pPr>
            <w:r>
              <w:t>2015 год – 9789,9 тыс. руб.</w:t>
            </w:r>
          </w:p>
          <w:p w:rsidR="001E27B4" w:rsidRDefault="001E27B4">
            <w:pPr>
              <w:jc w:val="both"/>
            </w:pPr>
            <w:r>
              <w:t>2016 год – 4789,3 тыс. руб.</w:t>
            </w:r>
          </w:p>
          <w:p w:rsidR="001E27B4" w:rsidRDefault="001E27B4">
            <w:pPr>
              <w:jc w:val="both"/>
            </w:pPr>
            <w:r>
              <w:t>2017 год – 6697,3 тыс. руб.</w:t>
            </w:r>
          </w:p>
          <w:p w:rsidR="001E27B4" w:rsidRDefault="001E27B4">
            <w:pPr>
              <w:jc w:val="both"/>
            </w:pPr>
            <w:r>
              <w:t>2018 год – 11762,8 тыс. руб.</w:t>
            </w:r>
          </w:p>
          <w:p w:rsidR="001E27B4" w:rsidRDefault="001E27B4">
            <w:pPr>
              <w:jc w:val="both"/>
            </w:pPr>
            <w:r>
              <w:t>2019 год – 11897,9 тыс. руб.</w:t>
            </w:r>
          </w:p>
          <w:p w:rsidR="001E27B4" w:rsidRDefault="001E27B4">
            <w:pPr>
              <w:jc w:val="both"/>
            </w:pPr>
            <w:r>
              <w:t xml:space="preserve">2020 год – 4695,5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 xml:space="preserve">2021 год – 2438,6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spacing w:before="40"/>
              <w:jc w:val="both"/>
            </w:pPr>
            <w:r>
              <w:t>- федеральный бюджет:</w:t>
            </w:r>
          </w:p>
          <w:p w:rsidR="001E27B4" w:rsidRDefault="001E27B4">
            <w:pPr>
              <w:spacing w:before="40"/>
              <w:jc w:val="both"/>
            </w:pPr>
            <w:r>
              <w:t>2014 год – 1218,2 тыс. руб.</w:t>
            </w:r>
          </w:p>
          <w:p w:rsidR="001E27B4" w:rsidRDefault="001E27B4">
            <w:pPr>
              <w:spacing w:before="40"/>
              <w:jc w:val="both"/>
            </w:pPr>
            <w:r>
              <w:t>2015 год – 1678,4 тыс. руб.</w:t>
            </w:r>
          </w:p>
          <w:p w:rsidR="001E27B4" w:rsidRDefault="001E27B4">
            <w:pPr>
              <w:spacing w:before="40"/>
              <w:jc w:val="both"/>
            </w:pPr>
            <w:r>
              <w:t>2016 год – 1451,4 тыс. руб.</w:t>
            </w:r>
          </w:p>
          <w:p w:rsidR="001E27B4" w:rsidRDefault="001E27B4">
            <w:pPr>
              <w:spacing w:before="40"/>
              <w:jc w:val="both"/>
            </w:pPr>
            <w:r>
              <w:t>2017 год – 1507,4 тыс. руб.</w:t>
            </w:r>
          </w:p>
          <w:p w:rsidR="001E27B4" w:rsidRDefault="001E27B4">
            <w:pPr>
              <w:spacing w:before="40"/>
              <w:jc w:val="both"/>
            </w:pPr>
            <w:r>
              <w:t>2018 год – 1914,0 тыс. руб.</w:t>
            </w:r>
          </w:p>
          <w:p w:rsidR="001E27B4" w:rsidRDefault="001E27B4">
            <w:pPr>
              <w:jc w:val="both"/>
            </w:pPr>
            <w:r>
              <w:t>2019 год – 2141,4 тыс. руб.</w:t>
            </w:r>
          </w:p>
          <w:p w:rsidR="001E27B4" w:rsidRDefault="001E27B4">
            <w:pPr>
              <w:jc w:val="both"/>
            </w:pPr>
            <w:r>
              <w:t xml:space="preserve">2020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 xml:space="preserve">2021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>- областной бюджет:</w:t>
            </w:r>
          </w:p>
          <w:p w:rsidR="001E27B4" w:rsidRDefault="001E27B4">
            <w:pPr>
              <w:jc w:val="both"/>
            </w:pPr>
            <w:r>
              <w:t>2014 год – 651,4 тыс. руб.</w:t>
            </w:r>
          </w:p>
          <w:p w:rsidR="001E27B4" w:rsidRDefault="001E27B4">
            <w:pPr>
              <w:jc w:val="both"/>
            </w:pPr>
            <w:r>
              <w:t>2015 год – 300,0 тыс. руб.</w:t>
            </w:r>
          </w:p>
          <w:p w:rsidR="001E27B4" w:rsidRDefault="001E27B4">
            <w:pPr>
              <w:jc w:val="both"/>
            </w:pPr>
            <w:r>
              <w:t>2016 год – 500,0 тыс. руб.</w:t>
            </w:r>
          </w:p>
          <w:p w:rsidR="001E27B4" w:rsidRDefault="001E27B4">
            <w:pPr>
              <w:jc w:val="both"/>
            </w:pPr>
            <w:r>
              <w:t>2017 год – 500,0 тыс. руб.</w:t>
            </w:r>
          </w:p>
          <w:p w:rsidR="001E27B4" w:rsidRDefault="001E27B4">
            <w:pPr>
              <w:jc w:val="both"/>
            </w:pPr>
            <w:r>
              <w:t>2018 год – 1250,0 тыс. руб.</w:t>
            </w:r>
          </w:p>
          <w:p w:rsidR="001E27B4" w:rsidRDefault="001E27B4">
            <w:pPr>
              <w:jc w:val="both"/>
            </w:pPr>
            <w:r>
              <w:t>2019 год – 500,0 тыс. руб.</w:t>
            </w:r>
          </w:p>
          <w:p w:rsidR="001E27B4" w:rsidRDefault="001E27B4">
            <w:pPr>
              <w:jc w:val="both"/>
            </w:pPr>
            <w:r>
              <w:t xml:space="preserve">2020 год - 0,0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 xml:space="preserve">2021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>- бюджет Тейковского муниципального района:</w:t>
            </w:r>
          </w:p>
          <w:p w:rsidR="001E27B4" w:rsidRDefault="001E27B4">
            <w:pPr>
              <w:jc w:val="both"/>
            </w:pPr>
            <w:r>
              <w:t>2014 год – 6676,4 тыс. руб.</w:t>
            </w:r>
          </w:p>
          <w:p w:rsidR="001E27B4" w:rsidRDefault="001E27B4">
            <w:pPr>
              <w:jc w:val="both"/>
            </w:pPr>
            <w:r>
              <w:t>2015 год – 7811,5 тыс. руб.</w:t>
            </w:r>
          </w:p>
          <w:p w:rsidR="001E27B4" w:rsidRDefault="001E27B4">
            <w:pPr>
              <w:jc w:val="both"/>
            </w:pPr>
            <w:r>
              <w:t>2016 год – 2837,9 тыс. руб.</w:t>
            </w:r>
          </w:p>
          <w:p w:rsidR="001E27B4" w:rsidRDefault="001E27B4">
            <w:pPr>
              <w:jc w:val="both"/>
            </w:pPr>
            <w:r>
              <w:t>2017 год – 4689,9 тыс. руб.</w:t>
            </w:r>
          </w:p>
          <w:p w:rsidR="001E27B4" w:rsidRDefault="001E27B4">
            <w:pPr>
              <w:jc w:val="both"/>
            </w:pPr>
            <w:r>
              <w:t>2018 год – 8598,8 тыс. руб.</w:t>
            </w:r>
          </w:p>
          <w:p w:rsidR="001E27B4" w:rsidRDefault="001E27B4">
            <w:pPr>
              <w:jc w:val="both"/>
            </w:pPr>
            <w:r>
              <w:t>2019 год – 9256,5 тыс. руб.</w:t>
            </w:r>
          </w:p>
          <w:p w:rsidR="001E27B4" w:rsidRDefault="001E27B4">
            <w:pPr>
              <w:jc w:val="both"/>
            </w:pPr>
            <w:r>
              <w:t xml:space="preserve">2020 год  - 4695,5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1E27B4" w:rsidRDefault="001E27B4">
            <w:pPr>
              <w:jc w:val="both"/>
            </w:pPr>
            <w:r>
              <w:t xml:space="preserve">2021 год – 2438,6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/>
    <w:p w:rsidR="001E27B4" w:rsidRDefault="001E27B4" w:rsidP="001E27B4">
      <w:pPr>
        <w:sectPr w:rsidR="001E27B4">
          <w:pgSz w:w="11906" w:h="16838"/>
          <w:pgMar w:top="709" w:right="851" w:bottom="1134" w:left="1701" w:header="709" w:footer="709" w:gutter="0"/>
          <w:cols w:space="720"/>
        </w:sectPr>
      </w:pPr>
    </w:p>
    <w:p w:rsidR="001E27B4" w:rsidRDefault="001E27B4" w:rsidP="001E27B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4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1E27B4" w:rsidRDefault="001E27B4" w:rsidP="001E27B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1E27B4" w:rsidRDefault="001E27B4" w:rsidP="001E27B4">
      <w:pPr>
        <w:jc w:val="right"/>
      </w:pPr>
      <w:r>
        <w:t xml:space="preserve">от    </w:t>
      </w:r>
      <w:r w:rsidR="006E475A">
        <w:t xml:space="preserve">                             </w:t>
      </w:r>
      <w:r>
        <w:t>№</w:t>
      </w:r>
      <w:bookmarkStart w:id="0" w:name="_GoBack"/>
      <w:bookmarkEnd w:id="0"/>
      <w:r>
        <w:t xml:space="preserve"> </w:t>
      </w:r>
    </w:p>
    <w:p w:rsidR="001E27B4" w:rsidRDefault="001E27B4" w:rsidP="001E27B4">
      <w:pPr>
        <w:keepNext/>
        <w:numPr>
          <w:ilvl w:val="0"/>
          <w:numId w:val="5"/>
        </w:numPr>
        <w:jc w:val="center"/>
        <w:rPr>
          <w:bCs/>
        </w:rPr>
      </w:pPr>
      <w:r>
        <w:rPr>
          <w:bCs/>
        </w:rPr>
        <w:t>Ресурсное обеспечение мероприятий подпрограммы</w:t>
      </w:r>
    </w:p>
    <w:p w:rsidR="001E27B4" w:rsidRDefault="001E27B4" w:rsidP="001E27B4">
      <w:pPr>
        <w:keepNext/>
        <w:ind w:left="1134"/>
        <w:jc w:val="center"/>
      </w:pPr>
      <w:r>
        <w:t>«Развитие общего образования»</w:t>
      </w:r>
    </w:p>
    <w:p w:rsidR="001E27B4" w:rsidRDefault="001E27B4" w:rsidP="001E27B4">
      <w:pPr>
        <w:keepNext/>
        <w:ind w:left="1134"/>
        <w:jc w:val="right"/>
      </w:pPr>
      <w:r>
        <w:t>(тыс. руб.)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1134"/>
        <w:gridCol w:w="1134"/>
        <w:gridCol w:w="992"/>
        <w:gridCol w:w="992"/>
        <w:gridCol w:w="1134"/>
        <w:gridCol w:w="992"/>
        <w:gridCol w:w="851"/>
        <w:gridCol w:w="850"/>
      </w:tblGrid>
      <w:tr w:rsidR="001E27B4" w:rsidTr="001E27B4">
        <w:trPr>
          <w:tblHeader/>
        </w:trPr>
        <w:tc>
          <w:tcPr>
            <w:tcW w:w="5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81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подпрограммы / </w:t>
            </w:r>
            <w:r>
              <w:rPr>
                <w:sz w:val="16"/>
                <w:szCs w:val="16"/>
              </w:rPr>
              <w:br/>
              <w:t>Источник ресурсного обеспечения</w:t>
            </w:r>
          </w:p>
        </w:tc>
        <w:tc>
          <w:tcPr>
            <w:tcW w:w="212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</w:t>
            </w:r>
          </w:p>
          <w:p w:rsidR="001E27B4" w:rsidRDefault="001E27B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/всего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11897,9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2438,6</w:t>
            </w:r>
          </w:p>
        </w:tc>
      </w:tr>
      <w:tr w:rsidR="001E27B4" w:rsidTr="001E27B4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ассигнования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11897,9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1E27B4" w:rsidTr="001E27B4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  <w:trHeight w:val="33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9256,5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Мероприятия, направленные  на антитеррористическую защищенность образовательных учреждений 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учительского корпуса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815,7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315,7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укрепление материально-технической базы муниципальных образовательных организаций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E27B4" w:rsidTr="001E27B4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1E27B4" w:rsidRDefault="001E27B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1E27B4" w:rsidRDefault="001E27B4" w:rsidP="001E27B4"/>
    <w:p w:rsidR="003E26CF" w:rsidRDefault="003E26CF"/>
    <w:sectPr w:rsidR="003E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70D75"/>
    <w:multiLevelType w:val="hybridMultilevel"/>
    <w:tmpl w:val="BF9C6832"/>
    <w:lvl w:ilvl="0" w:tplc="956249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A3"/>
    <w:rsid w:val="001921E2"/>
    <w:rsid w:val="001E27B4"/>
    <w:rsid w:val="003E26CF"/>
    <w:rsid w:val="006E475A"/>
    <w:rsid w:val="00AA63A3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7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1E27B4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27B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1E27B4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1E27B4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27B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E27B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1E2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E27B4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1E27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1E27B4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1E27B4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1E27B4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1E27B4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1E27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7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1E27B4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27B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1E27B4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1E27B4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E27B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E27B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1E2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E27B4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1E27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1E27B4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1E27B4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1E27B4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1E27B4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1E27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2019-04-26T11:41:00Z</dcterms:created>
  <dcterms:modified xsi:type="dcterms:W3CDTF">2019-08-13T06:27:00Z</dcterms:modified>
</cp:coreProperties>
</file>